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D182" w14:textId="77777777" w:rsidR="008F4D21" w:rsidRPr="006F310F" w:rsidRDefault="008F4D21"/>
    <w:p w14:paraId="08B6220A" w14:textId="77777777" w:rsidR="00D5547E" w:rsidRPr="006F310F" w:rsidRDefault="00D5547E" w:rsidP="004A6D2F"/>
    <w:tbl>
      <w:tblPr>
        <w:tblW w:w="0" w:type="auto"/>
        <w:tblInd w:w="108" w:type="dxa"/>
        <w:tblLayout w:type="fixed"/>
        <w:tblLook w:val="04A0" w:firstRow="1" w:lastRow="0" w:firstColumn="1" w:lastColumn="0" w:noHBand="0" w:noVBand="1"/>
      </w:tblPr>
      <w:tblGrid>
        <w:gridCol w:w="2438"/>
        <w:gridCol w:w="6406"/>
      </w:tblGrid>
      <w:tr w:rsidR="00CE544A" w:rsidRPr="006F310F" w14:paraId="6ABAA6BC" w14:textId="77777777" w:rsidTr="005F7F7E">
        <w:tc>
          <w:tcPr>
            <w:tcW w:w="2438" w:type="dxa"/>
            <w:shd w:val="clear" w:color="auto" w:fill="auto"/>
          </w:tcPr>
          <w:p w14:paraId="4E449619" w14:textId="77777777" w:rsidR="00F445B1" w:rsidRPr="006F310F" w:rsidRDefault="00F445B1" w:rsidP="004A6D2F">
            <w:pPr>
              <w:rPr>
                <w:rStyle w:val="Firstpagetablebold"/>
              </w:rPr>
            </w:pPr>
            <w:r w:rsidRPr="006F310F">
              <w:rPr>
                <w:rStyle w:val="Firstpagetablebold"/>
              </w:rPr>
              <w:t>To</w:t>
            </w:r>
            <w:r w:rsidR="005C35A5" w:rsidRPr="006F310F">
              <w:rPr>
                <w:rStyle w:val="Firstpagetablebold"/>
              </w:rPr>
              <w:t>:</w:t>
            </w:r>
          </w:p>
        </w:tc>
        <w:tc>
          <w:tcPr>
            <w:tcW w:w="6406" w:type="dxa"/>
            <w:shd w:val="clear" w:color="auto" w:fill="auto"/>
          </w:tcPr>
          <w:p w14:paraId="383F2D53" w14:textId="77777777" w:rsidR="00F445B1" w:rsidRPr="006F310F" w:rsidRDefault="00DB7AD7" w:rsidP="004A6D2F">
            <w:pPr>
              <w:rPr>
                <w:rStyle w:val="Firstpagetablebold"/>
              </w:rPr>
            </w:pPr>
            <w:r w:rsidRPr="006F310F">
              <w:rPr>
                <w:rStyle w:val="Firstpagetablebold"/>
              </w:rPr>
              <w:t>Cabinet</w:t>
            </w:r>
          </w:p>
        </w:tc>
      </w:tr>
      <w:tr w:rsidR="00CE544A" w:rsidRPr="006F310F" w14:paraId="1F6A84B4" w14:textId="77777777" w:rsidTr="005F7F7E">
        <w:tc>
          <w:tcPr>
            <w:tcW w:w="2438" w:type="dxa"/>
            <w:shd w:val="clear" w:color="auto" w:fill="auto"/>
          </w:tcPr>
          <w:p w14:paraId="159B757B" w14:textId="77777777" w:rsidR="00F445B1" w:rsidRPr="006F310F" w:rsidRDefault="00F445B1" w:rsidP="004A6D2F">
            <w:pPr>
              <w:rPr>
                <w:rStyle w:val="Firstpagetablebold"/>
              </w:rPr>
            </w:pPr>
            <w:r w:rsidRPr="006F310F">
              <w:rPr>
                <w:rStyle w:val="Firstpagetablebold"/>
              </w:rPr>
              <w:t>Dat</w:t>
            </w:r>
            <w:r w:rsidR="005C35A5" w:rsidRPr="006F310F">
              <w:rPr>
                <w:rStyle w:val="Firstpagetablebold"/>
              </w:rPr>
              <w:t>e:</w:t>
            </w:r>
          </w:p>
        </w:tc>
        <w:tc>
          <w:tcPr>
            <w:tcW w:w="6406" w:type="dxa"/>
            <w:shd w:val="clear" w:color="auto" w:fill="auto"/>
          </w:tcPr>
          <w:p w14:paraId="07F6BAD7" w14:textId="507CE559" w:rsidR="00F445B1" w:rsidRPr="006F310F" w:rsidRDefault="00F40D48" w:rsidP="00F40D48">
            <w:pPr>
              <w:rPr>
                <w:b/>
              </w:rPr>
            </w:pPr>
            <w:r w:rsidRPr="005B2B6D">
              <w:rPr>
                <w:rStyle w:val="Firstpagetablebold"/>
              </w:rPr>
              <w:t>1</w:t>
            </w:r>
            <w:r w:rsidR="007B7B6F">
              <w:rPr>
                <w:rStyle w:val="Firstpagetablebold"/>
              </w:rPr>
              <w:t xml:space="preserve">6 October </w:t>
            </w:r>
            <w:r w:rsidR="003A2233" w:rsidRPr="006F310F">
              <w:rPr>
                <w:rStyle w:val="Firstpagetablebold"/>
              </w:rPr>
              <w:t>202</w:t>
            </w:r>
            <w:r w:rsidR="007B7B6F">
              <w:rPr>
                <w:rStyle w:val="Firstpagetablebold"/>
              </w:rPr>
              <w:t>4</w:t>
            </w:r>
          </w:p>
        </w:tc>
      </w:tr>
      <w:tr w:rsidR="00CE544A" w:rsidRPr="006F310F" w14:paraId="5C7EDAC6" w14:textId="77777777" w:rsidTr="005F7F7E">
        <w:tc>
          <w:tcPr>
            <w:tcW w:w="2438" w:type="dxa"/>
            <w:shd w:val="clear" w:color="auto" w:fill="auto"/>
          </w:tcPr>
          <w:p w14:paraId="5471A284" w14:textId="77777777" w:rsidR="00F445B1" w:rsidRPr="006F310F" w:rsidRDefault="00F445B1" w:rsidP="004A6D2F">
            <w:pPr>
              <w:rPr>
                <w:rStyle w:val="Firstpagetablebold"/>
              </w:rPr>
            </w:pPr>
            <w:r w:rsidRPr="006F310F">
              <w:rPr>
                <w:rStyle w:val="Firstpagetablebold"/>
              </w:rPr>
              <w:t>Report of</w:t>
            </w:r>
            <w:r w:rsidR="005C35A5" w:rsidRPr="006F310F">
              <w:rPr>
                <w:rStyle w:val="Firstpagetablebold"/>
              </w:rPr>
              <w:t>:</w:t>
            </w:r>
          </w:p>
        </w:tc>
        <w:tc>
          <w:tcPr>
            <w:tcW w:w="6406" w:type="dxa"/>
            <w:shd w:val="clear" w:color="auto" w:fill="auto"/>
          </w:tcPr>
          <w:p w14:paraId="2674737A" w14:textId="77777777" w:rsidR="00F445B1" w:rsidRPr="006F310F" w:rsidRDefault="00830042" w:rsidP="004A6D2F">
            <w:pPr>
              <w:rPr>
                <w:rStyle w:val="Firstpagetablebold"/>
                <w:b w:val="0"/>
                <w:color w:val="auto"/>
              </w:rPr>
            </w:pPr>
            <w:r w:rsidRPr="006F310F">
              <w:rPr>
                <w:rFonts w:ascii="Helvetica" w:hAnsi="Helvetica"/>
                <w:b/>
                <w:color w:val="auto"/>
                <w:shd w:val="clear" w:color="auto" w:fill="FFFFFF"/>
              </w:rPr>
              <w:t>Executive Director (Development)</w:t>
            </w:r>
          </w:p>
        </w:tc>
      </w:tr>
      <w:tr w:rsidR="00CE544A" w:rsidRPr="006F310F" w14:paraId="6A5EAA78" w14:textId="77777777" w:rsidTr="005F7F7E">
        <w:tc>
          <w:tcPr>
            <w:tcW w:w="2438" w:type="dxa"/>
            <w:shd w:val="clear" w:color="auto" w:fill="auto"/>
          </w:tcPr>
          <w:p w14:paraId="099BB467" w14:textId="77777777" w:rsidR="00F445B1" w:rsidRPr="006F310F" w:rsidRDefault="00F445B1" w:rsidP="004A6D2F">
            <w:pPr>
              <w:rPr>
                <w:rStyle w:val="Firstpagetablebold"/>
              </w:rPr>
            </w:pPr>
            <w:r w:rsidRPr="006F310F">
              <w:rPr>
                <w:rStyle w:val="Firstpagetablebold"/>
              </w:rPr>
              <w:t xml:space="preserve">Title of Report: </w:t>
            </w:r>
          </w:p>
        </w:tc>
        <w:tc>
          <w:tcPr>
            <w:tcW w:w="6406" w:type="dxa"/>
            <w:shd w:val="clear" w:color="auto" w:fill="auto"/>
          </w:tcPr>
          <w:p w14:paraId="3564780F" w14:textId="6277576E" w:rsidR="00F445B1" w:rsidRPr="006F310F" w:rsidRDefault="00830042" w:rsidP="00103ABF">
            <w:pPr>
              <w:rPr>
                <w:rStyle w:val="Firstpagetablebold"/>
                <w:b w:val="0"/>
                <w:color w:val="auto"/>
              </w:rPr>
            </w:pPr>
            <w:r w:rsidRPr="006F310F">
              <w:rPr>
                <w:rFonts w:ascii="Helvetica" w:hAnsi="Helvetica"/>
                <w:b/>
                <w:color w:val="auto"/>
                <w:shd w:val="clear" w:color="auto" w:fill="FFFFFF"/>
              </w:rPr>
              <w:t xml:space="preserve">Blackbird Leys Development Project </w:t>
            </w:r>
            <w:r w:rsidR="00103ABF" w:rsidRPr="006F310F">
              <w:rPr>
                <w:rFonts w:ascii="Helvetica" w:hAnsi="Helvetica"/>
                <w:b/>
                <w:color w:val="auto"/>
                <w:shd w:val="clear" w:color="auto" w:fill="FFFFFF"/>
              </w:rPr>
              <w:t xml:space="preserve">– </w:t>
            </w:r>
            <w:r w:rsidR="007B7B6F">
              <w:rPr>
                <w:rFonts w:ascii="Helvetica" w:hAnsi="Helvetica"/>
                <w:b/>
                <w:color w:val="auto"/>
                <w:shd w:val="clear" w:color="auto" w:fill="FFFFFF"/>
              </w:rPr>
              <w:t>Compulsory Purchase Order</w:t>
            </w:r>
          </w:p>
        </w:tc>
      </w:tr>
    </w:tbl>
    <w:p w14:paraId="4CBEA153" w14:textId="77777777" w:rsidR="004F20EF" w:rsidRPr="006F310F" w:rsidRDefault="004F20EF" w:rsidP="004A6D2F"/>
    <w:tbl>
      <w:tblPr>
        <w:tblW w:w="0" w:type="auto"/>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26"/>
        <w:gridCol w:w="2012"/>
        <w:gridCol w:w="6407"/>
      </w:tblGrid>
      <w:tr w:rsidR="00D5547E" w:rsidRPr="006F310F" w14:paraId="5065FF98" w14:textId="77777777" w:rsidTr="4FAF83AA">
        <w:tc>
          <w:tcPr>
            <w:tcW w:w="8845" w:type="dxa"/>
            <w:gridSpan w:val="3"/>
            <w:tcBorders>
              <w:bottom w:val="single" w:sz="8" w:space="0" w:color="000000" w:themeColor="text1"/>
            </w:tcBorders>
            <w:hideMark/>
          </w:tcPr>
          <w:p w14:paraId="483FBDED" w14:textId="77777777" w:rsidR="00D5547E" w:rsidRPr="006F310F" w:rsidRDefault="00745BF0" w:rsidP="00745BF0">
            <w:pPr>
              <w:jc w:val="center"/>
              <w:rPr>
                <w:rStyle w:val="Firstpagetablebold"/>
              </w:rPr>
            </w:pPr>
            <w:r w:rsidRPr="006F310F">
              <w:rPr>
                <w:rStyle w:val="Firstpagetablebold"/>
              </w:rPr>
              <w:t>Summary and r</w:t>
            </w:r>
            <w:r w:rsidR="00D5547E" w:rsidRPr="006F310F">
              <w:rPr>
                <w:rStyle w:val="Firstpagetablebold"/>
              </w:rPr>
              <w:t>ecommendations</w:t>
            </w:r>
          </w:p>
        </w:tc>
      </w:tr>
      <w:tr w:rsidR="00D5547E" w:rsidRPr="006F310F" w14:paraId="52302A7E" w14:textId="77777777" w:rsidTr="4FAF83AA">
        <w:tc>
          <w:tcPr>
            <w:tcW w:w="2438" w:type="dxa"/>
            <w:gridSpan w:val="2"/>
            <w:tcBorders>
              <w:top w:val="single" w:sz="8" w:space="0" w:color="000000" w:themeColor="text1"/>
              <w:left w:val="single" w:sz="8" w:space="0" w:color="000000" w:themeColor="text1"/>
              <w:bottom w:val="nil"/>
              <w:right w:val="nil"/>
            </w:tcBorders>
            <w:hideMark/>
          </w:tcPr>
          <w:p w14:paraId="740B4388" w14:textId="77777777" w:rsidR="00D5547E" w:rsidRPr="006F310F" w:rsidRDefault="00D5547E">
            <w:pPr>
              <w:rPr>
                <w:rStyle w:val="Firstpagetablebold"/>
              </w:rPr>
            </w:pPr>
            <w:r w:rsidRPr="006F310F">
              <w:rPr>
                <w:rStyle w:val="Firstpagetablebold"/>
              </w:rPr>
              <w:t>Purpose of report:</w:t>
            </w:r>
          </w:p>
        </w:tc>
        <w:tc>
          <w:tcPr>
            <w:tcW w:w="6407" w:type="dxa"/>
            <w:tcBorders>
              <w:top w:val="single" w:sz="8" w:space="0" w:color="000000" w:themeColor="text1"/>
              <w:left w:val="nil"/>
              <w:bottom w:val="nil"/>
              <w:right w:val="single" w:sz="8" w:space="0" w:color="000000" w:themeColor="text1"/>
            </w:tcBorders>
            <w:hideMark/>
          </w:tcPr>
          <w:p w14:paraId="6F2AA606" w14:textId="63856ABF" w:rsidR="00D5547E" w:rsidRPr="006F310F" w:rsidRDefault="00F40D48" w:rsidP="00103ABF">
            <w:pPr>
              <w:jc w:val="both"/>
              <w:rPr>
                <w:color w:val="auto"/>
              </w:rPr>
            </w:pPr>
            <w:r w:rsidRPr="3DBB1777">
              <w:rPr>
                <w:rFonts w:cs="Arial"/>
                <w:color w:val="222222"/>
              </w:rPr>
              <w:t>To seek approva</w:t>
            </w:r>
            <w:r w:rsidR="00103ABF" w:rsidRPr="3DBB1777">
              <w:rPr>
                <w:rFonts w:cs="Arial"/>
                <w:color w:val="222222"/>
              </w:rPr>
              <w:t xml:space="preserve">l </w:t>
            </w:r>
            <w:r w:rsidR="00A40CBB" w:rsidRPr="3DBB1777">
              <w:rPr>
                <w:rFonts w:cs="Arial"/>
                <w:color w:val="222222"/>
              </w:rPr>
              <w:t xml:space="preserve">to </w:t>
            </w:r>
            <w:r w:rsidR="005749C4">
              <w:rPr>
                <w:rFonts w:cs="Arial"/>
                <w:color w:val="222222"/>
              </w:rPr>
              <w:t xml:space="preserve">utilise the Council’s Compulsory Purchase powers to support the acquisition of properties required for Phase 2 of the </w:t>
            </w:r>
            <w:r w:rsidR="0E0D4160" w:rsidRPr="3DBB1777">
              <w:rPr>
                <w:rFonts w:cs="Arial"/>
                <w:color w:val="222222"/>
              </w:rPr>
              <w:t>Blackbird</w:t>
            </w:r>
            <w:r w:rsidRPr="3DBB1777">
              <w:rPr>
                <w:rFonts w:cs="Arial"/>
                <w:color w:val="222222"/>
              </w:rPr>
              <w:t xml:space="preserve"> Leys Development Project.</w:t>
            </w:r>
            <w:r w:rsidR="003E6EAB">
              <w:rPr>
                <w:rFonts w:cs="Arial"/>
                <w:color w:val="222222"/>
              </w:rPr>
              <w:t xml:space="preserve"> </w:t>
            </w:r>
          </w:p>
        </w:tc>
      </w:tr>
      <w:tr w:rsidR="00D5547E" w:rsidRPr="006F310F" w14:paraId="19BDE0A4" w14:textId="77777777" w:rsidTr="4FAF83AA">
        <w:tc>
          <w:tcPr>
            <w:tcW w:w="2438" w:type="dxa"/>
            <w:gridSpan w:val="2"/>
            <w:tcBorders>
              <w:top w:val="nil"/>
              <w:left w:val="single" w:sz="8" w:space="0" w:color="000000" w:themeColor="text1"/>
              <w:bottom w:val="nil"/>
              <w:right w:val="nil"/>
            </w:tcBorders>
            <w:hideMark/>
          </w:tcPr>
          <w:p w14:paraId="1CDAF66C" w14:textId="77777777" w:rsidR="00D5547E" w:rsidRPr="006F310F" w:rsidRDefault="00D5547E">
            <w:pPr>
              <w:rPr>
                <w:rStyle w:val="Firstpagetablebold"/>
              </w:rPr>
            </w:pPr>
            <w:r w:rsidRPr="006F310F">
              <w:rPr>
                <w:rStyle w:val="Firstpagetablebold"/>
              </w:rPr>
              <w:t>Key decision:</w:t>
            </w:r>
          </w:p>
        </w:tc>
        <w:tc>
          <w:tcPr>
            <w:tcW w:w="6407" w:type="dxa"/>
            <w:tcBorders>
              <w:top w:val="nil"/>
              <w:left w:val="nil"/>
              <w:bottom w:val="nil"/>
              <w:right w:val="single" w:sz="8" w:space="0" w:color="000000" w:themeColor="text1"/>
            </w:tcBorders>
            <w:hideMark/>
          </w:tcPr>
          <w:p w14:paraId="172C4E20" w14:textId="1AF04B34" w:rsidR="00D5547E" w:rsidRPr="006F310F" w:rsidRDefault="00D5547E" w:rsidP="68AEBA48">
            <w:pPr>
              <w:rPr>
                <w:highlight w:val="yellow"/>
              </w:rPr>
            </w:pPr>
          </w:p>
        </w:tc>
      </w:tr>
      <w:tr w:rsidR="00D5547E" w:rsidRPr="006F310F" w14:paraId="7DB4F455" w14:textId="77777777" w:rsidTr="4FAF83AA">
        <w:tc>
          <w:tcPr>
            <w:tcW w:w="2438" w:type="dxa"/>
            <w:gridSpan w:val="2"/>
            <w:tcBorders>
              <w:top w:val="nil"/>
              <w:left w:val="single" w:sz="8" w:space="0" w:color="000000" w:themeColor="text1"/>
              <w:bottom w:val="nil"/>
              <w:right w:val="nil"/>
            </w:tcBorders>
            <w:hideMark/>
          </w:tcPr>
          <w:p w14:paraId="245FC434" w14:textId="247409D0" w:rsidR="00D5547E" w:rsidRPr="006F310F" w:rsidRDefault="00D860E2">
            <w:pPr>
              <w:rPr>
                <w:rStyle w:val="Firstpagetablebold"/>
              </w:rPr>
            </w:pPr>
            <w:r w:rsidRPr="006F310F">
              <w:rPr>
                <w:rStyle w:val="Firstpagetablebold"/>
              </w:rPr>
              <w:t>Cabinet</w:t>
            </w:r>
            <w:r w:rsidR="00D5547E" w:rsidRPr="006F310F">
              <w:rPr>
                <w:rStyle w:val="Firstpagetablebold"/>
              </w:rPr>
              <w:t xml:space="preserve"> Member</w:t>
            </w:r>
            <w:r w:rsidR="00607E1B">
              <w:rPr>
                <w:rStyle w:val="Firstpagetablebold"/>
              </w:rPr>
              <w:t>s</w:t>
            </w:r>
            <w:r w:rsidR="00D5547E" w:rsidRPr="006F310F">
              <w:rPr>
                <w:rStyle w:val="Firstpagetablebold"/>
              </w:rPr>
              <w:t>:</w:t>
            </w:r>
          </w:p>
        </w:tc>
        <w:tc>
          <w:tcPr>
            <w:tcW w:w="6407" w:type="dxa"/>
            <w:tcBorders>
              <w:top w:val="nil"/>
              <w:left w:val="nil"/>
              <w:bottom w:val="nil"/>
              <w:right w:val="single" w:sz="8" w:space="0" w:color="000000" w:themeColor="text1"/>
            </w:tcBorders>
            <w:hideMark/>
          </w:tcPr>
          <w:p w14:paraId="10177955" w14:textId="0F4F5A82" w:rsidR="00607E1B" w:rsidRDefault="6B66981A" w:rsidP="005B2B6D">
            <w:pPr>
              <w:rPr>
                <w:rFonts w:ascii="Helvetica" w:hAnsi="Helvetica"/>
                <w:color w:val="auto"/>
                <w:shd w:val="clear" w:color="auto" w:fill="FFFFFF"/>
              </w:rPr>
            </w:pPr>
            <w:r>
              <w:rPr>
                <w:rFonts w:ascii="Helvetica" w:hAnsi="Helvetica"/>
                <w:color w:val="auto"/>
                <w:shd w:val="clear" w:color="auto" w:fill="FFFFFF"/>
              </w:rPr>
              <w:t xml:space="preserve">Cllr </w:t>
            </w:r>
            <w:r w:rsidR="00607E1B">
              <w:rPr>
                <w:rFonts w:ascii="Helvetica" w:hAnsi="Helvetica"/>
                <w:color w:val="auto"/>
                <w:shd w:val="clear" w:color="auto" w:fill="FFFFFF"/>
              </w:rPr>
              <w:t>Edward Turner</w:t>
            </w:r>
            <w:r w:rsidR="4F569C33">
              <w:rPr>
                <w:rFonts w:ascii="Helvetica" w:hAnsi="Helvetica"/>
                <w:color w:val="auto"/>
                <w:shd w:val="clear" w:color="auto" w:fill="FFFFFF"/>
              </w:rPr>
              <w:t>, Deputy Leader and Cabinet Member for Finance and Asset Management</w:t>
            </w:r>
          </w:p>
          <w:p w14:paraId="08F6C374" w14:textId="2558CF51" w:rsidR="00607E1B" w:rsidRPr="006F310F" w:rsidRDefault="4F569C33" w:rsidP="005B2B6D">
            <w:pPr>
              <w:rPr>
                <w:rFonts w:ascii="Helvetica" w:hAnsi="Helvetica"/>
                <w:color w:val="auto"/>
                <w:shd w:val="clear" w:color="auto" w:fill="FFFFFF"/>
              </w:rPr>
            </w:pPr>
            <w:r w:rsidRPr="7A432423">
              <w:rPr>
                <w:rFonts w:ascii="Helvetica" w:hAnsi="Helvetica"/>
                <w:color w:val="auto"/>
              </w:rPr>
              <w:t xml:space="preserve">Cllr </w:t>
            </w:r>
            <w:r w:rsidR="0026499C">
              <w:rPr>
                <w:rFonts w:ascii="Helvetica" w:hAnsi="Helvetica"/>
                <w:color w:val="auto"/>
                <w:shd w:val="clear" w:color="auto" w:fill="FFFFFF"/>
              </w:rPr>
              <w:t>Linda Smith</w:t>
            </w:r>
            <w:r w:rsidR="07353025">
              <w:rPr>
                <w:rFonts w:ascii="Helvetica" w:hAnsi="Helvetica"/>
                <w:color w:val="auto"/>
                <w:shd w:val="clear" w:color="auto" w:fill="FFFFFF"/>
              </w:rPr>
              <w:t>, Cabinet Member for Housing and Communities</w:t>
            </w:r>
          </w:p>
        </w:tc>
      </w:tr>
      <w:tr w:rsidR="0080749A" w:rsidRPr="006F310F" w14:paraId="65826F71" w14:textId="77777777" w:rsidTr="4FAF83AA">
        <w:tc>
          <w:tcPr>
            <w:tcW w:w="2438" w:type="dxa"/>
            <w:gridSpan w:val="2"/>
            <w:tcBorders>
              <w:top w:val="nil"/>
              <w:left w:val="single" w:sz="8" w:space="0" w:color="000000" w:themeColor="text1"/>
              <w:bottom w:val="nil"/>
              <w:right w:val="nil"/>
            </w:tcBorders>
          </w:tcPr>
          <w:p w14:paraId="220E4DC0" w14:textId="6F9664FA" w:rsidR="0080749A" w:rsidRPr="006F310F" w:rsidRDefault="0080749A">
            <w:pPr>
              <w:rPr>
                <w:rStyle w:val="Firstpagetablebold"/>
              </w:rPr>
            </w:pPr>
            <w:r w:rsidRPr="006F310F">
              <w:rPr>
                <w:rStyle w:val="Firstpagetablebold"/>
              </w:rPr>
              <w:t>Corporate Priority:</w:t>
            </w:r>
          </w:p>
        </w:tc>
        <w:tc>
          <w:tcPr>
            <w:tcW w:w="6407" w:type="dxa"/>
            <w:tcBorders>
              <w:top w:val="nil"/>
              <w:left w:val="nil"/>
              <w:bottom w:val="nil"/>
              <w:right w:val="single" w:sz="8" w:space="0" w:color="000000" w:themeColor="text1"/>
            </w:tcBorders>
          </w:tcPr>
          <w:p w14:paraId="19C995BF" w14:textId="56992FC6" w:rsidR="0080749A" w:rsidRPr="006F310F" w:rsidRDefault="00822784" w:rsidP="005F7F7E">
            <w:r>
              <w:t>Meeting Housing Need; Strong &amp; Active Communities</w:t>
            </w:r>
          </w:p>
        </w:tc>
      </w:tr>
      <w:tr w:rsidR="00D5547E" w:rsidRPr="006F310F" w14:paraId="76480712" w14:textId="77777777" w:rsidTr="4FAF83AA">
        <w:tc>
          <w:tcPr>
            <w:tcW w:w="2438" w:type="dxa"/>
            <w:gridSpan w:val="2"/>
            <w:tcBorders>
              <w:top w:val="nil"/>
              <w:left w:val="single" w:sz="8" w:space="0" w:color="000000" w:themeColor="text1"/>
              <w:bottom w:val="nil"/>
              <w:right w:val="nil"/>
            </w:tcBorders>
            <w:hideMark/>
          </w:tcPr>
          <w:p w14:paraId="57FA1E96" w14:textId="77777777" w:rsidR="00D5547E" w:rsidRPr="006F310F" w:rsidRDefault="00D5547E">
            <w:pPr>
              <w:rPr>
                <w:rStyle w:val="Firstpagetablebold"/>
              </w:rPr>
            </w:pPr>
            <w:r w:rsidRPr="006F310F">
              <w:rPr>
                <w:rStyle w:val="Firstpagetablebold"/>
              </w:rPr>
              <w:t>Policy Framework:</w:t>
            </w:r>
          </w:p>
        </w:tc>
        <w:tc>
          <w:tcPr>
            <w:tcW w:w="6407" w:type="dxa"/>
            <w:tcBorders>
              <w:top w:val="nil"/>
              <w:left w:val="nil"/>
              <w:bottom w:val="nil"/>
              <w:right w:val="single" w:sz="8" w:space="0" w:color="000000" w:themeColor="text1"/>
            </w:tcBorders>
            <w:hideMark/>
          </w:tcPr>
          <w:p w14:paraId="433EBA4D" w14:textId="77777777" w:rsidR="00D5547E" w:rsidRDefault="004C15AD" w:rsidP="00822784">
            <w:pPr>
              <w:jc w:val="both"/>
            </w:pPr>
            <w:r>
              <w:t>The Oxford Local Plan 2016- 2036, including:</w:t>
            </w:r>
          </w:p>
          <w:p w14:paraId="498685E3" w14:textId="77777777" w:rsidR="004C15AD" w:rsidRDefault="004C15AD" w:rsidP="004C15AD">
            <w:pPr>
              <w:pStyle w:val="ListParagraph"/>
              <w:numPr>
                <w:ilvl w:val="0"/>
                <w:numId w:val="29"/>
              </w:numPr>
              <w:jc w:val="both"/>
            </w:pPr>
            <w:r>
              <w:t>A pleasant place to live, delivering housing with a mixed and balanced community (Policy H1 – H16</w:t>
            </w:r>
            <w:proofErr w:type="gramStart"/>
            <w:r>
              <w:t>);</w:t>
            </w:r>
            <w:proofErr w:type="gramEnd"/>
          </w:p>
          <w:p w14:paraId="434260E2" w14:textId="77777777" w:rsidR="004C15AD" w:rsidRDefault="004C15AD" w:rsidP="004C15AD">
            <w:pPr>
              <w:pStyle w:val="ListParagraph"/>
              <w:numPr>
                <w:ilvl w:val="0"/>
                <w:numId w:val="29"/>
              </w:numPr>
              <w:jc w:val="both"/>
            </w:pPr>
            <w:r>
              <w:t>Making wise use of our resources and securing a good quality local environment</w:t>
            </w:r>
            <w:r w:rsidR="00C8608F">
              <w:t xml:space="preserve"> (Policy RE1 – RE9</w:t>
            </w:r>
            <w:proofErr w:type="gramStart"/>
            <w:r w:rsidR="00C8608F">
              <w:t>);</w:t>
            </w:r>
            <w:proofErr w:type="gramEnd"/>
          </w:p>
          <w:p w14:paraId="37D06D31" w14:textId="77777777" w:rsidR="00C8608F" w:rsidRDefault="00C8608F" w:rsidP="004C15AD">
            <w:pPr>
              <w:pStyle w:val="ListParagraph"/>
              <w:numPr>
                <w:ilvl w:val="0"/>
                <w:numId w:val="29"/>
              </w:numPr>
              <w:jc w:val="both"/>
            </w:pPr>
            <w:r>
              <w:t>Ensuring efficient movement into and around the city (Policy M1 – M5</w:t>
            </w:r>
            <w:proofErr w:type="gramStart"/>
            <w:r>
              <w:t>);</w:t>
            </w:r>
            <w:proofErr w:type="gramEnd"/>
          </w:p>
          <w:p w14:paraId="29C588B5" w14:textId="77777777" w:rsidR="00C8608F" w:rsidRDefault="00C8608F" w:rsidP="004C15AD">
            <w:pPr>
              <w:pStyle w:val="ListParagraph"/>
              <w:numPr>
                <w:ilvl w:val="0"/>
                <w:numId w:val="29"/>
              </w:numPr>
              <w:jc w:val="both"/>
            </w:pPr>
            <w:r>
              <w:t>Providing communities with facilities and services and ensuring Oxford is a vibrant and enjoyable city to live in and visit (Policy V</w:t>
            </w:r>
            <w:proofErr w:type="gramStart"/>
            <w:r>
              <w:t>4 ,</w:t>
            </w:r>
            <w:proofErr w:type="gramEnd"/>
            <w:r>
              <w:t xml:space="preserve"> V6, V7);</w:t>
            </w:r>
          </w:p>
          <w:p w14:paraId="03BC9FB8" w14:textId="196E3888" w:rsidR="00C8608F" w:rsidRPr="006F310F" w:rsidRDefault="00C8608F" w:rsidP="004C15AD">
            <w:pPr>
              <w:pStyle w:val="ListParagraph"/>
              <w:numPr>
                <w:ilvl w:val="0"/>
                <w:numId w:val="29"/>
              </w:numPr>
              <w:jc w:val="both"/>
            </w:pPr>
            <w:r>
              <w:t>Areas of Change and Site Allocations including Policy AOC3, SP4, SP15.</w:t>
            </w:r>
          </w:p>
        </w:tc>
      </w:tr>
      <w:tr w:rsidR="005F7F7E" w:rsidRPr="006F310F" w14:paraId="0532FF8A" w14:textId="77777777" w:rsidTr="4FAF83AA">
        <w:trPr>
          <w:trHeight w:val="413"/>
        </w:trPr>
        <w:tc>
          <w:tcPr>
            <w:tcW w:w="8845" w:type="dxa"/>
            <w:gridSpan w:val="3"/>
            <w:tcBorders>
              <w:bottom w:val="single" w:sz="8" w:space="0" w:color="000000" w:themeColor="text1"/>
            </w:tcBorders>
          </w:tcPr>
          <w:p w14:paraId="44442457" w14:textId="1A1A535C" w:rsidR="005F7F7E" w:rsidRPr="006F310F" w:rsidRDefault="005F7F7E" w:rsidP="00DB7AD7">
            <w:r w:rsidRPr="006F310F">
              <w:rPr>
                <w:rStyle w:val="Firstpagetablebold"/>
              </w:rPr>
              <w:t>Recommendation(s</w:t>
            </w:r>
            <w:proofErr w:type="gramStart"/>
            <w:r w:rsidRPr="006F310F">
              <w:rPr>
                <w:rStyle w:val="Firstpagetablebold"/>
              </w:rPr>
              <w:t>):That</w:t>
            </w:r>
            <w:proofErr w:type="gramEnd"/>
            <w:r w:rsidRPr="006F310F">
              <w:rPr>
                <w:rStyle w:val="Firstpagetablebold"/>
              </w:rPr>
              <w:t xml:space="preserve"> </w:t>
            </w:r>
            <w:r w:rsidR="00DB7AD7" w:rsidRPr="006F310F">
              <w:rPr>
                <w:rStyle w:val="Firstpagetablebold"/>
              </w:rPr>
              <w:t>Cabinet</w:t>
            </w:r>
            <w:r w:rsidRPr="006F310F">
              <w:rPr>
                <w:rStyle w:val="Firstpagetablebold"/>
              </w:rPr>
              <w:t xml:space="preserve"> resolves to:</w:t>
            </w:r>
          </w:p>
        </w:tc>
      </w:tr>
      <w:tr w:rsidR="0030208D" w:rsidRPr="006F310F" w14:paraId="70A4F6B9" w14:textId="77777777" w:rsidTr="4FAF83AA">
        <w:trPr>
          <w:trHeight w:val="283"/>
        </w:trPr>
        <w:tc>
          <w:tcPr>
            <w:tcW w:w="426" w:type="dxa"/>
            <w:tcBorders>
              <w:top w:val="single" w:sz="8" w:space="0" w:color="000000" w:themeColor="text1"/>
              <w:left w:val="single" w:sz="8" w:space="0" w:color="000000" w:themeColor="text1"/>
              <w:bottom w:val="nil"/>
              <w:right w:val="single" w:sz="4" w:space="0" w:color="auto"/>
            </w:tcBorders>
          </w:tcPr>
          <w:p w14:paraId="1D08931E" w14:textId="5660274B" w:rsidR="00EA7D42" w:rsidRPr="006F310F" w:rsidRDefault="00046D2B" w:rsidP="004A6D2F">
            <w:r w:rsidRPr="006F310F">
              <w:t>1.</w:t>
            </w:r>
          </w:p>
          <w:p w14:paraId="70422CCA" w14:textId="77777777" w:rsidR="00EA7D42" w:rsidRPr="006F310F" w:rsidRDefault="00EA7D42" w:rsidP="004A6D2F"/>
          <w:p w14:paraId="0AC2DADC" w14:textId="77777777" w:rsidR="00EA7D42" w:rsidRPr="006F310F" w:rsidRDefault="00EA7D42" w:rsidP="004A6D2F"/>
          <w:p w14:paraId="1082141F" w14:textId="5D185D5F" w:rsidR="00EA7D42" w:rsidRPr="006F310F" w:rsidRDefault="00EA7D42" w:rsidP="004A6D2F"/>
        </w:tc>
        <w:tc>
          <w:tcPr>
            <w:tcW w:w="8419" w:type="dxa"/>
            <w:gridSpan w:val="2"/>
            <w:tcBorders>
              <w:top w:val="single" w:sz="4" w:space="0" w:color="auto"/>
              <w:left w:val="single" w:sz="4" w:space="0" w:color="auto"/>
              <w:bottom w:val="single" w:sz="4" w:space="0" w:color="auto"/>
              <w:right w:val="single" w:sz="4" w:space="0" w:color="auto"/>
            </w:tcBorders>
            <w:shd w:val="clear" w:color="auto" w:fill="auto"/>
          </w:tcPr>
          <w:p w14:paraId="79F2ECE6" w14:textId="2F6F0DC1" w:rsidR="007B7B6F" w:rsidRPr="007B7B6F" w:rsidRDefault="007B7B6F" w:rsidP="005749C4">
            <w:pPr>
              <w:pStyle w:val="xmsolistparagraph"/>
              <w:shd w:val="clear" w:color="auto" w:fill="FFFFFF"/>
              <w:spacing w:before="0" w:beforeAutospacing="0" w:after="0" w:afterAutospacing="0"/>
              <w:rPr>
                <w:rFonts w:ascii="Calibri" w:hAnsi="Calibri" w:cs="Calibri"/>
                <w:color w:val="242424"/>
              </w:rPr>
            </w:pPr>
            <w:r w:rsidRPr="007B7B6F">
              <w:rPr>
                <w:rFonts w:ascii="Arial" w:hAnsi="Arial" w:cs="Arial"/>
                <w:color w:val="242424"/>
                <w:bdr w:val="none" w:sz="0" w:space="0" w:color="auto" w:frame="1"/>
              </w:rPr>
              <w:lastRenderedPageBreak/>
              <w:t xml:space="preserve">Authorise the use by the Council of its Compulsory Purchase Order (CPO) making powers pursuant to Section 226(1) of the Town and Country Planning Act 1990 for the acquisition of the land and [section 13 of the Local </w:t>
            </w:r>
            <w:r w:rsidRPr="007B7B6F">
              <w:rPr>
                <w:rFonts w:ascii="Arial" w:hAnsi="Arial" w:cs="Arial"/>
                <w:color w:val="242424"/>
                <w:bdr w:val="none" w:sz="0" w:space="0" w:color="auto" w:frame="1"/>
              </w:rPr>
              <w:lastRenderedPageBreak/>
              <w:t xml:space="preserve">Government (Miscellaneous Provisions) Act 1976 for the acquisition of new rights over land] </w:t>
            </w:r>
            <w:r w:rsidRPr="005749C4">
              <w:rPr>
                <w:rFonts w:ascii="Arial" w:hAnsi="Arial" w:cs="Arial"/>
                <w:color w:val="242424"/>
                <w:bdr w:val="none" w:sz="0" w:space="0" w:color="auto" w:frame="1"/>
              </w:rPr>
              <w:t>shown o</w:t>
            </w:r>
            <w:r w:rsidRPr="00724059">
              <w:rPr>
                <w:rFonts w:ascii="Arial" w:hAnsi="Arial" w:cs="Arial"/>
                <w:color w:val="242424"/>
                <w:bdr w:val="none" w:sz="0" w:space="0" w:color="auto" w:frame="1"/>
              </w:rPr>
              <w:t>utline</w:t>
            </w:r>
            <w:r w:rsidR="005749C4" w:rsidRPr="00724059">
              <w:rPr>
                <w:rFonts w:ascii="Arial" w:hAnsi="Arial" w:cs="Arial"/>
                <w:color w:val="242424"/>
                <w:bdr w:val="none" w:sz="0" w:space="0" w:color="auto" w:frame="1"/>
              </w:rPr>
              <w:t>d</w:t>
            </w:r>
            <w:r w:rsidRPr="00724059">
              <w:rPr>
                <w:rFonts w:ascii="Arial" w:hAnsi="Arial" w:cs="Arial"/>
                <w:color w:val="242424"/>
                <w:bdr w:val="none" w:sz="0" w:space="0" w:color="auto" w:frame="1"/>
              </w:rPr>
              <w:t xml:space="preserve"> in red </w:t>
            </w:r>
            <w:r w:rsidRPr="005749C4">
              <w:rPr>
                <w:rFonts w:ascii="Arial" w:hAnsi="Arial" w:cs="Arial"/>
                <w:color w:val="242424"/>
                <w:bdr w:val="none" w:sz="0" w:space="0" w:color="auto" w:frame="1"/>
              </w:rPr>
              <w:t>on the</w:t>
            </w:r>
            <w:r w:rsidRPr="007B7B6F">
              <w:rPr>
                <w:rFonts w:ascii="Arial" w:hAnsi="Arial" w:cs="Arial"/>
                <w:color w:val="242424"/>
                <w:bdr w:val="none" w:sz="0" w:space="0" w:color="auto" w:frame="1"/>
              </w:rPr>
              <w:t xml:space="preserve"> plan attached as Appendix 1.</w:t>
            </w:r>
          </w:p>
          <w:p w14:paraId="694AAB92" w14:textId="7BC38E17" w:rsidR="0030208D" w:rsidRPr="007B7B6F" w:rsidRDefault="0030208D" w:rsidP="00186B11">
            <w:pPr>
              <w:rPr>
                <w:color w:val="auto"/>
              </w:rPr>
            </w:pPr>
          </w:p>
        </w:tc>
      </w:tr>
      <w:tr w:rsidR="00232F5B" w:rsidRPr="006F310F" w14:paraId="69D7C2EE" w14:textId="77777777" w:rsidTr="4FAF83AA">
        <w:trPr>
          <w:trHeight w:val="283"/>
        </w:trPr>
        <w:tc>
          <w:tcPr>
            <w:tcW w:w="426" w:type="dxa"/>
            <w:tcBorders>
              <w:top w:val="nil"/>
              <w:left w:val="single" w:sz="8" w:space="0" w:color="000000" w:themeColor="text1"/>
              <w:bottom w:val="single" w:sz="4" w:space="0" w:color="auto"/>
              <w:right w:val="single" w:sz="4" w:space="0" w:color="auto"/>
            </w:tcBorders>
          </w:tcPr>
          <w:p w14:paraId="039A0CA0" w14:textId="1B67D511" w:rsidR="0030208D" w:rsidRPr="006F310F" w:rsidRDefault="00EA7D42" w:rsidP="004A6D2F">
            <w:r w:rsidRPr="006F310F">
              <w:lastRenderedPageBreak/>
              <w:t>2.</w:t>
            </w:r>
          </w:p>
        </w:tc>
        <w:tc>
          <w:tcPr>
            <w:tcW w:w="8419" w:type="dxa"/>
            <w:gridSpan w:val="2"/>
            <w:tcBorders>
              <w:top w:val="single" w:sz="4" w:space="0" w:color="auto"/>
              <w:left w:val="single" w:sz="4" w:space="0" w:color="auto"/>
              <w:bottom w:val="single" w:sz="4" w:space="0" w:color="auto"/>
              <w:right w:val="single" w:sz="4" w:space="0" w:color="auto"/>
            </w:tcBorders>
            <w:shd w:val="clear" w:color="auto" w:fill="auto"/>
          </w:tcPr>
          <w:p w14:paraId="0EF4BC24" w14:textId="18327820" w:rsidR="007B7B6F" w:rsidRPr="007B7B6F" w:rsidRDefault="47052A53" w:rsidP="4FAF83AA">
            <w:pPr>
              <w:pStyle w:val="xmsolistparagraph"/>
              <w:shd w:val="clear" w:color="auto" w:fill="FFFFFF" w:themeFill="background1"/>
              <w:spacing w:before="0" w:beforeAutospacing="0" w:after="0" w:afterAutospacing="0"/>
              <w:rPr>
                <w:rFonts w:ascii="Calibri" w:hAnsi="Calibri" w:cs="Calibri"/>
                <w:color w:val="242424"/>
              </w:rPr>
            </w:pPr>
            <w:r w:rsidRPr="007B7B6F">
              <w:rPr>
                <w:rFonts w:ascii="Arial" w:hAnsi="Arial" w:cs="Arial"/>
                <w:color w:val="242424"/>
                <w:bdr w:val="none" w:sz="0" w:space="0" w:color="auto" w:frame="1"/>
              </w:rPr>
              <w:t xml:space="preserve">Delegate authority to the Executive Director of Development in consultation with </w:t>
            </w:r>
            <w:r w:rsidR="005749C4">
              <w:rPr>
                <w:rFonts w:ascii="Arial" w:hAnsi="Arial" w:cs="Arial"/>
                <w:color w:val="242424"/>
                <w:bdr w:val="none" w:sz="0" w:space="0" w:color="auto" w:frame="1"/>
              </w:rPr>
              <w:t xml:space="preserve">the Cabinet Member for </w:t>
            </w:r>
            <w:r w:rsidR="0026499C">
              <w:rPr>
                <w:rFonts w:ascii="Arial" w:hAnsi="Arial" w:cs="Arial"/>
                <w:color w:val="242424"/>
                <w:bdr w:val="none" w:sz="0" w:space="0" w:color="auto" w:frame="1"/>
              </w:rPr>
              <w:t>Finance and Asset Management</w:t>
            </w:r>
            <w:r w:rsidR="005749C4">
              <w:rPr>
                <w:rFonts w:ascii="Arial" w:hAnsi="Arial" w:cs="Arial"/>
                <w:color w:val="242424"/>
                <w:bdr w:val="none" w:sz="0" w:space="0" w:color="auto" w:frame="1"/>
              </w:rPr>
              <w:t xml:space="preserve"> and the Cabinet Member for </w:t>
            </w:r>
            <w:r w:rsidR="0026499C">
              <w:rPr>
                <w:rFonts w:ascii="Arial" w:hAnsi="Arial" w:cs="Arial"/>
                <w:color w:val="242424"/>
                <w:bdr w:val="none" w:sz="0" w:space="0" w:color="auto" w:frame="1"/>
              </w:rPr>
              <w:t>Homes and Communities:</w:t>
            </w:r>
          </w:p>
          <w:p w14:paraId="5DE259C3" w14:textId="494B31F7" w:rsidR="007B7B6F" w:rsidRPr="007B7B6F" w:rsidRDefault="47052A53" w:rsidP="4FAF83AA">
            <w:pPr>
              <w:pStyle w:val="xmsolistparagraph"/>
              <w:numPr>
                <w:ilvl w:val="0"/>
                <w:numId w:val="32"/>
              </w:numPr>
              <w:shd w:val="clear" w:color="auto" w:fill="FFFFFF" w:themeFill="background1"/>
              <w:spacing w:before="0" w:beforeAutospacing="0" w:after="0" w:afterAutospacing="0"/>
              <w:ind w:left="1080"/>
              <w:rPr>
                <w:rFonts w:ascii="Arial" w:hAnsi="Arial" w:cs="Arial"/>
                <w:color w:val="242424"/>
              </w:rPr>
            </w:pPr>
            <w:r w:rsidRPr="007B7B6F">
              <w:rPr>
                <w:rFonts w:ascii="Arial" w:hAnsi="Arial" w:cs="Arial"/>
                <w:color w:val="242424"/>
                <w:bdr w:val="none" w:sz="0" w:space="0" w:color="auto" w:frame="1"/>
              </w:rPr>
              <w:t>to take all necessary steps to secure the making, seeking confirmation and implementation of a CPO under section 226(1) of the Town and Country Planning Act 1990 including the publication and service of all notices and presentation of the Council’s case at any public inquiry following the making of the Compulsory Purchase Order for the land shown on the plan attached as Appendix 1.</w:t>
            </w:r>
            <w:r w:rsidR="652C8ADB" w:rsidRPr="007B7B6F">
              <w:rPr>
                <w:rFonts w:ascii="Arial" w:hAnsi="Arial" w:cs="Arial"/>
                <w:color w:val="242424"/>
                <w:bdr w:val="none" w:sz="0" w:space="0" w:color="auto" w:frame="1"/>
              </w:rPr>
              <w:t xml:space="preserve"> </w:t>
            </w:r>
            <w:r w:rsidR="0E98A08B" w:rsidRPr="007B7B6F">
              <w:rPr>
                <w:rFonts w:ascii="Arial" w:hAnsi="Arial" w:cs="Arial"/>
                <w:color w:val="242424"/>
                <w:bdr w:val="none" w:sz="0" w:space="0" w:color="auto" w:frame="1"/>
              </w:rPr>
              <w:t xml:space="preserve">To agree in principle to the use of the Council’s compulsory purchase order </w:t>
            </w:r>
            <w:r w:rsidR="5613C15F" w:rsidRPr="20214BFE">
              <w:rPr>
                <w:rFonts w:ascii="Arial" w:hAnsi="Arial" w:cs="Arial"/>
                <w:color w:val="242424"/>
              </w:rPr>
              <w:t>powers pursuant to</w:t>
            </w:r>
            <w:r w:rsidR="5613C15F" w:rsidRPr="007B7B6F">
              <w:rPr>
                <w:rFonts w:ascii="Arial" w:hAnsi="Arial" w:cs="Arial"/>
                <w:color w:val="242424"/>
                <w:bdr w:val="none" w:sz="0" w:space="0" w:color="auto" w:frame="1"/>
              </w:rPr>
              <w:t xml:space="preserve"> section 226(1) (a) of the Town and Country Planning Act 1990 </w:t>
            </w:r>
            <w:r w:rsidR="4A011B34" w:rsidRPr="20214BFE">
              <w:rPr>
                <w:rFonts w:ascii="Arial" w:hAnsi="Arial" w:cs="Arial"/>
                <w:color w:val="242424"/>
              </w:rPr>
              <w:t>to acquire</w:t>
            </w:r>
            <w:r w:rsidR="4A011B34" w:rsidRPr="007B7B6F">
              <w:rPr>
                <w:rFonts w:ascii="Arial" w:hAnsi="Arial" w:cs="Arial"/>
                <w:color w:val="242424"/>
                <w:bdr w:val="none" w:sz="0" w:space="0" w:color="auto" w:frame="1"/>
              </w:rPr>
              <w:t xml:space="preserve"> third party rights and interests </w:t>
            </w:r>
            <w:r w:rsidR="02D1E66A" w:rsidRPr="007B7B6F">
              <w:rPr>
                <w:rFonts w:ascii="Arial" w:hAnsi="Arial" w:cs="Arial"/>
                <w:color w:val="242424"/>
                <w:bdr w:val="none" w:sz="0" w:space="0" w:color="auto" w:frame="1"/>
              </w:rPr>
              <w:t>subject to detailed land referenc</w:t>
            </w:r>
            <w:r w:rsidR="02D1E66A" w:rsidRPr="20214BFE">
              <w:rPr>
                <w:rFonts w:ascii="Arial" w:hAnsi="Arial" w:cs="Arial"/>
                <w:color w:val="242424"/>
              </w:rPr>
              <w:t xml:space="preserve">ing exercise, </w:t>
            </w:r>
            <w:proofErr w:type="gramStart"/>
            <w:r w:rsidR="02D1E66A" w:rsidRPr="20214BFE">
              <w:rPr>
                <w:rFonts w:ascii="Arial" w:hAnsi="Arial" w:cs="Arial"/>
                <w:color w:val="242424"/>
              </w:rPr>
              <w:t>in order to</w:t>
            </w:r>
            <w:proofErr w:type="gramEnd"/>
            <w:r w:rsidR="02D1E66A" w:rsidRPr="20214BFE">
              <w:rPr>
                <w:rFonts w:ascii="Arial" w:hAnsi="Arial" w:cs="Arial"/>
                <w:color w:val="242424"/>
              </w:rPr>
              <w:t xml:space="preserve"> facilitate</w:t>
            </w:r>
            <w:r w:rsidR="02D1E66A" w:rsidRPr="007B7B6F">
              <w:rPr>
                <w:rFonts w:ascii="Arial" w:hAnsi="Arial" w:cs="Arial"/>
                <w:color w:val="242424"/>
                <w:bdr w:val="none" w:sz="0" w:space="0" w:color="auto" w:frame="1"/>
              </w:rPr>
              <w:t xml:space="preserve"> the Blackbird Leys Development Project</w:t>
            </w:r>
          </w:p>
          <w:p w14:paraId="4F9A7FE1" w14:textId="77777777" w:rsidR="007B7B6F" w:rsidRPr="007B7B6F" w:rsidRDefault="007B7B6F" w:rsidP="007B7B6F">
            <w:pPr>
              <w:pStyle w:val="xmsolistparagraph"/>
              <w:numPr>
                <w:ilvl w:val="0"/>
                <w:numId w:val="32"/>
              </w:numPr>
              <w:shd w:val="clear" w:color="auto" w:fill="FFFFFF"/>
              <w:spacing w:before="0" w:beforeAutospacing="0" w:after="0" w:afterAutospacing="0"/>
              <w:ind w:left="1080"/>
              <w:rPr>
                <w:rFonts w:ascii="Calibri" w:hAnsi="Calibri" w:cs="Calibri"/>
                <w:color w:val="242424"/>
              </w:rPr>
            </w:pPr>
            <w:r w:rsidRPr="007B7B6F">
              <w:rPr>
                <w:rFonts w:ascii="Arial" w:hAnsi="Arial" w:cs="Arial"/>
                <w:color w:val="242424"/>
                <w:bdr w:val="none" w:sz="0" w:space="0" w:color="auto" w:frame="1"/>
              </w:rPr>
              <w:t xml:space="preserve">approve and enter agreements with landowners setting out the terms for withdrawal of objections to the Compulsory Purchase </w:t>
            </w:r>
            <w:proofErr w:type="gramStart"/>
            <w:r w:rsidRPr="007B7B6F">
              <w:rPr>
                <w:rFonts w:ascii="Arial" w:hAnsi="Arial" w:cs="Arial"/>
                <w:color w:val="242424"/>
                <w:bdr w:val="none" w:sz="0" w:space="0" w:color="auto" w:frame="1"/>
              </w:rPr>
              <w:t>Order ,</w:t>
            </w:r>
            <w:proofErr w:type="gramEnd"/>
            <w:r w:rsidRPr="007B7B6F">
              <w:rPr>
                <w:rFonts w:ascii="Arial" w:hAnsi="Arial" w:cs="Arial"/>
                <w:color w:val="242424"/>
                <w:bdr w:val="none" w:sz="0" w:space="0" w:color="auto" w:frame="1"/>
              </w:rPr>
              <w:t xml:space="preserve"> including, where appropriate seeking exclusion of land or new rights from the Compulsory Purchase Order and/or making arrangements for the relocation of occupiers </w:t>
            </w:r>
          </w:p>
          <w:p w14:paraId="7528C61C" w14:textId="26DBCF1B" w:rsidR="007B7B6F" w:rsidRPr="007B7B6F" w:rsidRDefault="47052A53" w:rsidP="4FAF83AA">
            <w:pPr>
              <w:pStyle w:val="xmsolistparagraph"/>
              <w:numPr>
                <w:ilvl w:val="0"/>
                <w:numId w:val="32"/>
              </w:numPr>
              <w:shd w:val="clear" w:color="auto" w:fill="FFFFFF" w:themeFill="background1"/>
              <w:spacing w:before="0" w:beforeAutospacing="0" w:after="0" w:afterAutospacing="0"/>
              <w:ind w:left="1080"/>
              <w:rPr>
                <w:rFonts w:ascii="Arial" w:hAnsi="Arial" w:cs="Arial"/>
                <w:color w:val="242424"/>
              </w:rPr>
            </w:pPr>
            <w:r w:rsidRPr="007B7B6F">
              <w:rPr>
                <w:rFonts w:ascii="Arial" w:hAnsi="Arial" w:cs="Arial"/>
                <w:color w:val="242424"/>
                <w:bdr w:val="none" w:sz="0" w:space="0" w:color="auto" w:frame="1"/>
              </w:rPr>
              <w:t>to agree the terms and any documentation </w:t>
            </w:r>
            <w:r w:rsidR="4C9943FA" w:rsidRPr="007B7B6F">
              <w:rPr>
                <w:rFonts w:ascii="Arial" w:hAnsi="Arial" w:cs="Arial"/>
                <w:color w:val="242424"/>
                <w:bdr w:val="none" w:sz="0" w:space="0" w:color="auto" w:frame="1"/>
              </w:rPr>
              <w:t>required</w:t>
            </w:r>
            <w:r w:rsidRPr="007B7B6F">
              <w:rPr>
                <w:rFonts w:ascii="Arial" w:hAnsi="Arial" w:cs="Arial"/>
                <w:color w:val="242424"/>
                <w:bdr w:val="none" w:sz="0" w:space="0" w:color="auto" w:frame="1"/>
              </w:rPr>
              <w:t xml:space="preserve"> to settle any property matters necessary to progress the regeneration </w:t>
            </w:r>
            <w:proofErr w:type="gramStart"/>
            <w:r w:rsidRPr="007B7B6F">
              <w:rPr>
                <w:rFonts w:ascii="Arial" w:hAnsi="Arial" w:cs="Arial"/>
                <w:color w:val="242424"/>
                <w:bdr w:val="none" w:sz="0" w:space="0" w:color="auto" w:frame="1"/>
              </w:rPr>
              <w:t>scheme</w:t>
            </w:r>
            <w:proofErr w:type="gramEnd"/>
          </w:p>
          <w:p w14:paraId="47E2FB84" w14:textId="789861C0" w:rsidR="00AB7CB4" w:rsidRPr="006F310F" w:rsidRDefault="00AB7CB4">
            <w:pPr>
              <w:rPr>
                <w:b/>
                <w:color w:val="auto"/>
              </w:rPr>
            </w:pPr>
          </w:p>
        </w:tc>
      </w:tr>
    </w:tbl>
    <w:p w14:paraId="01E94C9D" w14:textId="0E8B38AC" w:rsidR="68AEBA48" w:rsidRPr="006F310F" w:rsidRDefault="68AEBA48"/>
    <w:p w14:paraId="4C3EFC49" w14:textId="309BC517" w:rsidR="00CE544A" w:rsidRPr="006F310F" w:rsidRDefault="00CE544A"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6F310F" w14:paraId="5A9A0BD8" w14:textId="77777777" w:rsidTr="68AEBA48">
        <w:tc>
          <w:tcPr>
            <w:tcW w:w="8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7614B7F" w14:textId="77777777" w:rsidR="00966D42" w:rsidRPr="006F310F" w:rsidRDefault="00966D42" w:rsidP="006E28B0">
            <w:r w:rsidRPr="006F310F">
              <w:rPr>
                <w:rStyle w:val="Firstpagetablebold"/>
              </w:rPr>
              <w:t>Appendices</w:t>
            </w:r>
          </w:p>
        </w:tc>
      </w:tr>
      <w:tr w:rsidR="00ED5860" w:rsidRPr="006F310F" w14:paraId="48F0D74D" w14:textId="77777777" w:rsidTr="68AEBA48">
        <w:trPr>
          <w:trHeight w:val="406"/>
        </w:trPr>
        <w:tc>
          <w:tcPr>
            <w:tcW w:w="2438" w:type="dxa"/>
            <w:tcBorders>
              <w:top w:val="single" w:sz="8" w:space="0" w:color="000000" w:themeColor="text1"/>
              <w:left w:val="single" w:sz="8" w:space="0" w:color="000000" w:themeColor="text1"/>
              <w:bottom w:val="single" w:sz="4" w:space="0" w:color="auto"/>
              <w:right w:val="nil"/>
            </w:tcBorders>
            <w:shd w:val="clear" w:color="auto" w:fill="auto"/>
          </w:tcPr>
          <w:p w14:paraId="62C54CF6" w14:textId="77777777" w:rsidR="00ED5860" w:rsidRPr="002975C0" w:rsidRDefault="00ED5860" w:rsidP="004A6D2F">
            <w:r w:rsidRPr="002975C0">
              <w:t>Appendix 1</w:t>
            </w:r>
          </w:p>
        </w:tc>
        <w:tc>
          <w:tcPr>
            <w:tcW w:w="6406" w:type="dxa"/>
            <w:tcBorders>
              <w:top w:val="single" w:sz="8" w:space="0" w:color="000000" w:themeColor="text1"/>
              <w:left w:val="nil"/>
              <w:bottom w:val="single" w:sz="4" w:space="0" w:color="auto"/>
              <w:right w:val="single" w:sz="8" w:space="0" w:color="000000" w:themeColor="text1"/>
            </w:tcBorders>
          </w:tcPr>
          <w:p w14:paraId="46265DFF" w14:textId="702893D9" w:rsidR="00ED5860" w:rsidRPr="002975C0" w:rsidRDefault="007B7B6F" w:rsidP="68AEBA48">
            <w:pPr>
              <w:spacing w:line="259" w:lineRule="auto"/>
            </w:pPr>
            <w:r>
              <w:t>Red-line plan of the Phase 2 land</w:t>
            </w:r>
          </w:p>
        </w:tc>
      </w:tr>
      <w:tr w:rsidR="68AEBA48" w:rsidRPr="006F310F" w14:paraId="660DABA0" w14:textId="77777777" w:rsidTr="68AEBA48">
        <w:trPr>
          <w:trHeight w:val="406"/>
        </w:trPr>
        <w:tc>
          <w:tcPr>
            <w:tcW w:w="2438" w:type="dxa"/>
            <w:tcBorders>
              <w:top w:val="single" w:sz="8" w:space="0" w:color="000000" w:themeColor="text1"/>
              <w:left w:val="single" w:sz="8" w:space="0" w:color="000000" w:themeColor="text1"/>
              <w:bottom w:val="single" w:sz="4" w:space="0" w:color="auto"/>
              <w:right w:val="nil"/>
            </w:tcBorders>
            <w:shd w:val="clear" w:color="auto" w:fill="auto"/>
          </w:tcPr>
          <w:p w14:paraId="4E773823" w14:textId="6DA876CF" w:rsidR="105E3710" w:rsidRPr="002975C0" w:rsidRDefault="105E3710" w:rsidP="68AEBA48">
            <w:r w:rsidRPr="002975C0">
              <w:t>Appendix 2</w:t>
            </w:r>
          </w:p>
        </w:tc>
        <w:tc>
          <w:tcPr>
            <w:tcW w:w="6406" w:type="dxa"/>
            <w:tcBorders>
              <w:top w:val="single" w:sz="8" w:space="0" w:color="000000" w:themeColor="text1"/>
              <w:left w:val="nil"/>
              <w:bottom w:val="single" w:sz="4" w:space="0" w:color="auto"/>
              <w:right w:val="single" w:sz="8" w:space="0" w:color="000000" w:themeColor="text1"/>
            </w:tcBorders>
          </w:tcPr>
          <w:p w14:paraId="156F191E" w14:textId="6A484E96" w:rsidR="68AEBA48" w:rsidRPr="002975C0" w:rsidRDefault="007B7B6F" w:rsidP="002975C0">
            <w:r w:rsidRPr="002975C0">
              <w:t xml:space="preserve"> Risk Register</w:t>
            </w:r>
          </w:p>
        </w:tc>
      </w:tr>
      <w:tr w:rsidR="68AEBA48" w:rsidRPr="006F310F" w14:paraId="0012F8CA" w14:textId="77777777" w:rsidTr="002975C0">
        <w:trPr>
          <w:trHeight w:val="406"/>
        </w:trPr>
        <w:tc>
          <w:tcPr>
            <w:tcW w:w="2438" w:type="dxa"/>
            <w:tcBorders>
              <w:top w:val="single" w:sz="8" w:space="0" w:color="000000" w:themeColor="text1"/>
              <w:left w:val="single" w:sz="8" w:space="0" w:color="000000" w:themeColor="text1"/>
              <w:bottom w:val="single" w:sz="8" w:space="0" w:color="000000" w:themeColor="text1"/>
              <w:right w:val="nil"/>
            </w:tcBorders>
            <w:shd w:val="clear" w:color="auto" w:fill="auto"/>
          </w:tcPr>
          <w:p w14:paraId="2E243FDC" w14:textId="1DBAF5E8" w:rsidR="68AEBA48" w:rsidRPr="002975C0" w:rsidRDefault="00E22608" w:rsidP="68AEBA48">
            <w:r w:rsidRPr="002975C0">
              <w:t xml:space="preserve">Appendix </w:t>
            </w:r>
            <w:r w:rsidR="002975C0" w:rsidRPr="002975C0">
              <w:t>3</w:t>
            </w:r>
          </w:p>
        </w:tc>
        <w:tc>
          <w:tcPr>
            <w:tcW w:w="6406" w:type="dxa"/>
            <w:tcBorders>
              <w:top w:val="single" w:sz="8" w:space="0" w:color="000000" w:themeColor="text1"/>
              <w:left w:val="nil"/>
              <w:bottom w:val="single" w:sz="8" w:space="0" w:color="000000" w:themeColor="text1"/>
              <w:right w:val="single" w:sz="8" w:space="0" w:color="000000" w:themeColor="text1"/>
            </w:tcBorders>
          </w:tcPr>
          <w:p w14:paraId="33CC00E8" w14:textId="72FBD244" w:rsidR="68AEBA48" w:rsidRPr="002975C0" w:rsidRDefault="007B7B6F" w:rsidP="002975C0">
            <w:r>
              <w:t xml:space="preserve"> Benefits of the Blackbird Leys Regeneration Scheme</w:t>
            </w:r>
          </w:p>
        </w:tc>
      </w:tr>
    </w:tbl>
    <w:p w14:paraId="6BCFF630" w14:textId="5718B761" w:rsidR="00505505" w:rsidRDefault="005749C4" w:rsidP="005675D9">
      <w:pPr>
        <w:rPr>
          <w:rFonts w:cs="Arial"/>
          <w:bCs/>
          <w:color w:val="000000" w:themeColor="text1"/>
        </w:rPr>
      </w:pPr>
      <w:r>
        <w:rPr>
          <w:rFonts w:cs="Arial"/>
          <w:bCs/>
          <w:color w:val="000000" w:themeColor="text1"/>
        </w:rPr>
        <w:t xml:space="preserve">  </w:t>
      </w:r>
    </w:p>
    <w:p w14:paraId="383FFE22" w14:textId="34AB42F3" w:rsidR="006E28B0" w:rsidRDefault="00AB4B1B" w:rsidP="306B695E">
      <w:pPr>
        <w:pStyle w:val="bParagraphtext"/>
        <w:numPr>
          <w:ilvl w:val="0"/>
          <w:numId w:val="0"/>
        </w:numPr>
        <w:ind w:left="360" w:hanging="360"/>
      </w:pPr>
      <w:r w:rsidRPr="4FAF83AA">
        <w:rPr>
          <w:b/>
          <w:bCs/>
        </w:rPr>
        <w:t>PURPOSE OF REPORT</w:t>
      </w:r>
    </w:p>
    <w:p w14:paraId="6576AC43" w14:textId="0D028F3D" w:rsidR="006E28B0" w:rsidRDefault="008E3EA3" w:rsidP="43A04E02">
      <w:pPr>
        <w:pStyle w:val="bParagraphtext"/>
      </w:pPr>
      <w:r>
        <w:t xml:space="preserve">This report seeks approval for the commencement of </w:t>
      </w:r>
      <w:r w:rsidR="0026499C">
        <w:t xml:space="preserve">the compulsory purchase order (CPO) process to facilitate the acquisition of properties required to enable the construction of Phase 2 of the </w:t>
      </w:r>
      <w:r w:rsidR="007E3870">
        <w:t>Blackbird Leys Development Project.</w:t>
      </w:r>
      <w:r w:rsidR="00380963">
        <w:t xml:space="preserve">  </w:t>
      </w:r>
      <w:r w:rsidR="0026499C">
        <w:t xml:space="preserve">The CPO powers would only be utilised </w:t>
      </w:r>
      <w:proofErr w:type="gramStart"/>
      <w:r w:rsidR="0026499C">
        <w:t>in the event that</w:t>
      </w:r>
      <w:proofErr w:type="gramEnd"/>
      <w:r w:rsidR="0026499C">
        <w:t xml:space="preserve"> the properties required cannot be purchased by agreement between the Council and the existing owners.</w:t>
      </w:r>
    </w:p>
    <w:p w14:paraId="1E40FF8B" w14:textId="7BB75514" w:rsidR="006E28B0" w:rsidRDefault="00DE5D2A" w:rsidP="01E32E20">
      <w:pPr>
        <w:pStyle w:val="bParagraphtext"/>
        <w:numPr>
          <w:ilvl w:val="0"/>
          <w:numId w:val="0"/>
        </w:numPr>
        <w:rPr>
          <w:color w:val="000000" w:themeColor="text1"/>
        </w:rPr>
      </w:pPr>
      <w:r>
        <w:rPr>
          <w:b/>
        </w:rPr>
        <w:t xml:space="preserve">INTRODUCTION AND </w:t>
      </w:r>
      <w:r w:rsidRPr="00DE5D2A">
        <w:rPr>
          <w:b/>
        </w:rPr>
        <w:t>BACKGROU</w:t>
      </w:r>
      <w:r>
        <w:rPr>
          <w:b/>
        </w:rPr>
        <w:t>ND</w:t>
      </w:r>
    </w:p>
    <w:p w14:paraId="460428A1" w14:textId="3E984499" w:rsidR="009C5B0E" w:rsidRPr="006E28B0" w:rsidRDefault="00C550FB" w:rsidP="01E32E20">
      <w:pPr>
        <w:pStyle w:val="bParagraphtext"/>
        <w:rPr>
          <w:color w:val="000000" w:themeColor="text1"/>
        </w:rPr>
      </w:pPr>
      <w:r>
        <w:t>Blackbird Leys District Centre and Knights Road were identified as a comprehensive regeneration site</w:t>
      </w:r>
      <w:r w:rsidR="00207BC0">
        <w:t>s</w:t>
      </w:r>
      <w:r>
        <w:t xml:space="preserve"> in the Oxford City Council Sites and Housing Plan (2013) and reaffirmed in the Oxford Local Plan 2036. The District Centre is located at the centre of the 1960s estate with major employment sites to the North, </w:t>
      </w:r>
      <w:r>
        <w:lastRenderedPageBreak/>
        <w:t xml:space="preserve">an industrial park </w:t>
      </w:r>
      <w:r w:rsidR="00207BC0">
        <w:t xml:space="preserve">to the </w:t>
      </w:r>
      <w:proofErr w:type="gramStart"/>
      <w:r>
        <w:t>North</w:t>
      </w:r>
      <w:r w:rsidR="00207BC0">
        <w:t xml:space="preserve"> E</w:t>
      </w:r>
      <w:r>
        <w:t>ast</w:t>
      </w:r>
      <w:proofErr w:type="gramEnd"/>
      <w:r>
        <w:t>, a science park to the South</w:t>
      </w:r>
      <w:r w:rsidR="00207BC0">
        <w:t xml:space="preserve"> W</w:t>
      </w:r>
      <w:r>
        <w:t>est and the Kassam Stadium to the South.</w:t>
      </w:r>
    </w:p>
    <w:p w14:paraId="0FFD4895" w14:textId="70A733FD" w:rsidR="009C5B0E" w:rsidRPr="006F310F" w:rsidRDefault="00C550FB" w:rsidP="01E32E20">
      <w:pPr>
        <w:pStyle w:val="bParagraphtext"/>
      </w:pPr>
      <w:r>
        <w:t>The Leys has some of the most deprived areas in the country, with the 2019 Indices of Deprivation (IMD2019), demonstrating that 3 out of the 4 LSOAs within Blackbird Leys rank amongst the 20% most deprived within England, and amongst the 10% most deprived in terms of Education, Skills, and Training. Furthermore, according to End Child Poverty estimates for 2017/18, Blackbird Leys ranks as the Oxford city ward with the highest incidence of children living in poverty (after housing costs).</w:t>
      </w:r>
    </w:p>
    <w:p w14:paraId="482CEBA9" w14:textId="3F1F267D" w:rsidR="009C5B0E" w:rsidRPr="006F310F" w:rsidRDefault="00C550FB" w:rsidP="14F37906">
      <w:pPr>
        <w:pStyle w:val="bParagraphtext"/>
      </w:pPr>
      <w:r>
        <w:t xml:space="preserve">OCC and </w:t>
      </w:r>
      <w:r w:rsidR="001C17F0">
        <w:t xml:space="preserve">its development partner, </w:t>
      </w:r>
      <w:r>
        <w:t>Peabody</w:t>
      </w:r>
      <w:r w:rsidR="001C17F0">
        <w:t>,</w:t>
      </w:r>
      <w:r>
        <w:t xml:space="preserve"> work</w:t>
      </w:r>
      <w:r w:rsidR="1ACEE548">
        <w:t>ed</w:t>
      </w:r>
      <w:r>
        <w:t xml:space="preserve"> together to develop the Blackbird Leys</w:t>
      </w:r>
      <w:r w:rsidR="005675D9">
        <w:t xml:space="preserve"> </w:t>
      </w:r>
      <w:r>
        <w:t xml:space="preserve">masterplan, focusing on layout, housing mix (including tenure and type), phasing and viability. </w:t>
      </w:r>
      <w:r w:rsidR="7CBFD4CD">
        <w:t>Planning consent for the development was granted on</w:t>
      </w:r>
      <w:r>
        <w:t xml:space="preserve"> </w:t>
      </w:r>
      <w:r w:rsidR="775F73E2">
        <w:t xml:space="preserve">25 October 2023. </w:t>
      </w:r>
    </w:p>
    <w:p w14:paraId="48904DE0" w14:textId="58F746B4" w:rsidR="009C5B0E" w:rsidRPr="006F310F" w:rsidRDefault="00C550FB" w:rsidP="3F0FAF09">
      <w:pPr>
        <w:pStyle w:val="bParagraphtext"/>
      </w:pPr>
      <w:r>
        <w:t xml:space="preserve">The proposals for the District Centre and Knights Road sites are considered as a masterplan, looking to promote a holistic approach to place-making across Blackbird Leys. The proposals seek to integrate a new high-density residential-led mixed use development into a changing context, within an established and engaged local community. </w:t>
      </w:r>
      <w:r w:rsidR="00BA6156">
        <w:t>The scheme will be delivered in phases, with Phase 1 including the Knights Road site and most of the District Centre</w:t>
      </w:r>
      <w:r w:rsidR="0026499C">
        <w:t xml:space="preserve">. Phase 2 is the </w:t>
      </w:r>
      <w:r w:rsidR="688936F1">
        <w:t>re</w:t>
      </w:r>
      <w:r w:rsidR="0026499C">
        <w:t xml:space="preserve">development of </w:t>
      </w:r>
      <w:r w:rsidR="49E2C00F">
        <w:t>an</w:t>
      </w:r>
      <w:r w:rsidR="00BA6156">
        <w:t xml:space="preserve"> existing block of retail units and flats above</w:t>
      </w:r>
      <w:r w:rsidR="0026499C">
        <w:t>.</w:t>
      </w:r>
      <w:r w:rsidR="00BA6156">
        <w:t xml:space="preserve"> </w:t>
      </w:r>
    </w:p>
    <w:p w14:paraId="0FC04F3F" w14:textId="553C5F4F" w:rsidR="00A50367" w:rsidRPr="006E28B0" w:rsidRDefault="00D05456" w:rsidP="3F0FAF09">
      <w:pPr>
        <w:pStyle w:val="bParagraphtext"/>
      </w:pPr>
      <w:r>
        <w:t>T</w:t>
      </w:r>
      <w:r w:rsidR="00C550FB">
        <w:t xml:space="preserve">he Blackbird Leys mixed use development </w:t>
      </w:r>
      <w:r w:rsidR="23852A57">
        <w:t xml:space="preserve">will </w:t>
      </w:r>
      <w:r w:rsidR="00C550FB">
        <w:t xml:space="preserve">provide a total of 294 residential units as a mixture of </w:t>
      </w:r>
      <w:proofErr w:type="gramStart"/>
      <w:r w:rsidR="00C550FB">
        <w:t>1, 2 and 3 bedroom</w:t>
      </w:r>
      <w:proofErr w:type="gramEnd"/>
      <w:r w:rsidR="00C550FB">
        <w:t xml:space="preserve"> apartments and 2 and 3 bedroom houses spread across both sites. This represents a density of circa 95 dwellings per hectare at the District Centre and 38 dwellings per hectare at the Knights Road site. 100% of the homes are affordable, provided as a mixture of 174 (59%) for Social Rented and 120 (41%) for Shared Ownership. As well as housing, the scheme will provide improved public realm focusing on well-being and sustainability with the inclusion of sustainable drainage systems (</w:t>
      </w:r>
      <w:proofErr w:type="spellStart"/>
      <w:r w:rsidR="00C550FB">
        <w:t>SuDS</w:t>
      </w:r>
      <w:proofErr w:type="spellEnd"/>
      <w:r w:rsidR="00C550FB">
        <w:t>), biodiversity-led landscaping and play space, as well as retail space, that allows for the relocation of existing retail units located within the scheme’s boundary, and a new community centre.</w:t>
      </w:r>
    </w:p>
    <w:p w14:paraId="74081ADA" w14:textId="21204100" w:rsidR="006E28B0" w:rsidRDefault="003358BD" w:rsidP="3F0FAF09">
      <w:pPr>
        <w:pStyle w:val="bParagraphtext"/>
      </w:pPr>
      <w:r>
        <w:t xml:space="preserve">Oxford </w:t>
      </w:r>
      <w:r w:rsidR="009C5B0E">
        <w:t xml:space="preserve">City Council (OCC) owns land </w:t>
      </w:r>
      <w:r w:rsidR="41F5FA76">
        <w:t xml:space="preserve">in the Blackbird Leys District Centre </w:t>
      </w:r>
      <w:proofErr w:type="gramStart"/>
      <w:r w:rsidR="41F5FA76">
        <w:t xml:space="preserve">and  </w:t>
      </w:r>
      <w:r w:rsidR="009C5B0E">
        <w:t>Knights</w:t>
      </w:r>
      <w:proofErr w:type="gramEnd"/>
      <w:r w:rsidR="009C5B0E">
        <w:t xml:space="preserve"> Road</w:t>
      </w:r>
      <w:r w:rsidR="00207BC0">
        <w:t xml:space="preserve"> </w:t>
      </w:r>
      <w:r w:rsidR="009C5B0E">
        <w:t xml:space="preserve">and proposes to redevelop the site as part of the Blackbird Leys Regeneration Masterplan. The residential-led, </w:t>
      </w:r>
      <w:r w:rsidR="00186B11">
        <w:t>mixed-</w:t>
      </w:r>
      <w:r w:rsidR="009C5B0E">
        <w:t>use development will provide housing, retail, and community accommodation across two sites.</w:t>
      </w:r>
    </w:p>
    <w:p w14:paraId="54CB3D69" w14:textId="77777777" w:rsidR="006E28B0" w:rsidRDefault="009C5B0E" w:rsidP="3F0FAF09">
      <w:pPr>
        <w:pStyle w:val="bParagraphtext"/>
      </w:pPr>
      <w:r>
        <w:t xml:space="preserve">The Knights Road site has been allocated as a development site in OCC’s 2016-2036 Local Plan, which was adopted in 2020. </w:t>
      </w:r>
    </w:p>
    <w:p w14:paraId="22B48056" w14:textId="77777777" w:rsidR="006E28B0" w:rsidRDefault="00C550FB" w:rsidP="3F0FAF09">
      <w:pPr>
        <w:pStyle w:val="bParagraphtext"/>
      </w:pPr>
      <w:r w:rsidRPr="006F310F">
        <w:t xml:space="preserve">According to the 2036 Local plan: </w:t>
      </w:r>
    </w:p>
    <w:p w14:paraId="30C051E1" w14:textId="01AC20D6" w:rsidR="00505505" w:rsidRDefault="00505505" w:rsidP="006E28B0">
      <w:pPr>
        <w:pStyle w:val="bParagraphtext"/>
        <w:numPr>
          <w:ilvl w:val="0"/>
          <w:numId w:val="0"/>
        </w:numPr>
        <w:ind w:left="360"/>
      </w:pPr>
      <w:r>
        <w:t xml:space="preserve">‘The site comprises some </w:t>
      </w:r>
      <w:proofErr w:type="gramStart"/>
      <w:r>
        <w:t>poor quality</w:t>
      </w:r>
      <w:proofErr w:type="gramEnd"/>
      <w:r>
        <w:t xml:space="preserve"> open space. It is adjacent to </w:t>
      </w:r>
      <w:proofErr w:type="spellStart"/>
      <w:r>
        <w:t>Spindleberry</w:t>
      </w:r>
      <w:proofErr w:type="spellEnd"/>
      <w:r>
        <w:t xml:space="preserve"> Nature Park and the Kassam Stadium. The site was also allocated for development in the Sites and Housing Plan 2011-2026.’</w:t>
      </w:r>
    </w:p>
    <w:p w14:paraId="7F8569CB" w14:textId="50A8B342" w:rsidR="00C550FB" w:rsidRPr="006E28B0" w:rsidRDefault="00505505" w:rsidP="006E28B0">
      <w:pPr>
        <w:pStyle w:val="bParagraphtext"/>
        <w:numPr>
          <w:ilvl w:val="0"/>
          <w:numId w:val="0"/>
        </w:numPr>
        <w:ind w:left="360"/>
        <w:rPr>
          <w:rFonts w:ascii="CIDFont+F1" w:hAnsi="CIDFont+F1" w:cs="CIDFont+F1"/>
          <w:color w:val="auto"/>
        </w:rPr>
      </w:pPr>
      <w:r>
        <w:t xml:space="preserve">‘The site is suitable for residential use. Development should enhance the quality and safety of the area. The relationship between new development and remaining green areas, particularly </w:t>
      </w:r>
      <w:proofErr w:type="spellStart"/>
      <w:r>
        <w:t>Spindleberry</w:t>
      </w:r>
      <w:proofErr w:type="spellEnd"/>
      <w:r>
        <w:t xml:space="preserve"> Park should be carefully considered. More vulnerable development will be expected to be directed away from Flood Zone 3b. </w:t>
      </w:r>
      <w:r>
        <w:lastRenderedPageBreak/>
        <w:t>The site does not have any biodiversity protections, but the ecological value of the site must be assessed as part of a planning application and any harm avoided, mitigated or compensated for.’</w:t>
      </w:r>
    </w:p>
    <w:p w14:paraId="4EB5149F" w14:textId="6F63D78A" w:rsidR="00AF1DF5" w:rsidRPr="00020423" w:rsidRDefault="006E28B0" w:rsidP="042859A7">
      <w:pPr>
        <w:pStyle w:val="bParagraphtext"/>
        <w:rPr>
          <w:lang w:val="en-US"/>
        </w:rPr>
      </w:pPr>
      <w:r w:rsidRPr="4FAF83AA">
        <w:rPr>
          <w:lang w:val="en-US"/>
        </w:rPr>
        <w:t xml:space="preserve">In October 2017, </w:t>
      </w:r>
      <w:r w:rsidR="00BA3925" w:rsidRPr="4FAF83AA">
        <w:rPr>
          <w:lang w:val="en-US"/>
        </w:rPr>
        <w:t>OCC</w:t>
      </w:r>
      <w:r w:rsidRPr="4FAF83AA">
        <w:rPr>
          <w:lang w:val="en-US"/>
        </w:rPr>
        <w:t xml:space="preserve"> undertook an OJEU compliant 'Competitive Dialogue' process, which ultimately led to the appointment of Catalyst Housing Limited (CHL) as the development partner for the Blackbird Leys Estate Regeneration project.</w:t>
      </w:r>
    </w:p>
    <w:p w14:paraId="13E4F9EC" w14:textId="06D354EB" w:rsidR="00AF1DF5" w:rsidRPr="00AF1DF5" w:rsidRDefault="00020423" w:rsidP="042859A7">
      <w:pPr>
        <w:pStyle w:val="bParagraphtext"/>
        <w:rPr>
          <w:color w:val="010101"/>
          <w:sz w:val="23"/>
          <w:szCs w:val="23"/>
        </w:rPr>
      </w:pPr>
      <w:r w:rsidRPr="00020423">
        <w:rPr>
          <w:lang w:val="en-US"/>
        </w:rPr>
        <w:t>Given the relative low land and property values in the area the project has always had significant viability issues. Initial proposals from all bidders were based upon an indicative masterplan produced for the Council by Levitt Bernstein and which the Council's consultants CBRE had assessed as having a deficit or negative land value.</w:t>
      </w:r>
      <w:r>
        <w:rPr>
          <w:lang w:val="en-US"/>
        </w:rPr>
        <w:t xml:space="preserve"> </w:t>
      </w:r>
      <w:r>
        <w:rPr>
          <w:color w:val="010101"/>
        </w:rPr>
        <w:t>Tenders</w:t>
      </w:r>
      <w:r>
        <w:rPr>
          <w:color w:val="010101"/>
          <w:spacing w:val="40"/>
        </w:rPr>
        <w:t xml:space="preserve"> </w:t>
      </w:r>
      <w:r>
        <w:rPr>
          <w:color w:val="010101"/>
        </w:rPr>
        <w:t>were</w:t>
      </w:r>
      <w:r>
        <w:rPr>
          <w:color w:val="010101"/>
          <w:spacing w:val="35"/>
        </w:rPr>
        <w:t xml:space="preserve"> </w:t>
      </w:r>
      <w:r>
        <w:rPr>
          <w:color w:val="010101"/>
        </w:rPr>
        <w:t>scored</w:t>
      </w:r>
      <w:r>
        <w:rPr>
          <w:color w:val="010101"/>
          <w:spacing w:val="40"/>
        </w:rPr>
        <w:t xml:space="preserve"> </w:t>
      </w:r>
      <w:r>
        <w:rPr>
          <w:color w:val="010101"/>
        </w:rPr>
        <w:t>on</w:t>
      </w:r>
      <w:r>
        <w:rPr>
          <w:color w:val="010101"/>
          <w:spacing w:val="29"/>
        </w:rPr>
        <w:t xml:space="preserve"> </w:t>
      </w:r>
      <w:r>
        <w:rPr>
          <w:color w:val="010101"/>
        </w:rPr>
        <w:t>a</w:t>
      </w:r>
      <w:r>
        <w:rPr>
          <w:color w:val="010101"/>
          <w:spacing w:val="28"/>
        </w:rPr>
        <w:t xml:space="preserve"> </w:t>
      </w:r>
      <w:r>
        <w:rPr>
          <w:color w:val="010101"/>
        </w:rPr>
        <w:t>60%</w:t>
      </w:r>
      <w:r>
        <w:rPr>
          <w:color w:val="010101"/>
          <w:spacing w:val="33"/>
        </w:rPr>
        <w:t xml:space="preserve"> </w:t>
      </w:r>
      <w:r>
        <w:rPr>
          <w:color w:val="010101"/>
        </w:rPr>
        <w:t xml:space="preserve">Qualitative </w:t>
      </w:r>
      <w:r w:rsidRPr="042859A7">
        <w:rPr>
          <w:color w:val="010101"/>
          <w:w w:val="105"/>
          <w:sz w:val="23"/>
          <w:szCs w:val="23"/>
        </w:rPr>
        <w:t>and</w:t>
      </w:r>
      <w:r w:rsidRPr="042859A7">
        <w:rPr>
          <w:color w:val="010101"/>
          <w:spacing w:val="-2"/>
          <w:w w:val="105"/>
          <w:sz w:val="23"/>
          <w:szCs w:val="23"/>
        </w:rPr>
        <w:t xml:space="preserve"> </w:t>
      </w:r>
      <w:r w:rsidRPr="042859A7">
        <w:rPr>
          <w:color w:val="010101"/>
          <w:w w:val="105"/>
          <w:sz w:val="23"/>
          <w:szCs w:val="23"/>
        </w:rPr>
        <w:t>40% Quantitative (financial) basis</w:t>
      </w:r>
      <w:r w:rsidRPr="042859A7">
        <w:rPr>
          <w:color w:val="363636"/>
          <w:w w:val="105"/>
          <w:sz w:val="23"/>
          <w:szCs w:val="23"/>
        </w:rPr>
        <w:t>.</w:t>
      </w:r>
      <w:r w:rsidRPr="042859A7">
        <w:rPr>
          <w:color w:val="363636"/>
          <w:spacing w:val="-16"/>
          <w:w w:val="105"/>
          <w:sz w:val="23"/>
          <w:szCs w:val="23"/>
        </w:rPr>
        <w:t xml:space="preserve"> </w:t>
      </w:r>
      <w:r w:rsidRPr="042859A7">
        <w:rPr>
          <w:color w:val="010101"/>
          <w:w w:val="105"/>
          <w:sz w:val="23"/>
          <w:szCs w:val="23"/>
        </w:rPr>
        <w:t>The selection of</w:t>
      </w:r>
      <w:r w:rsidRPr="042859A7">
        <w:rPr>
          <w:color w:val="010101"/>
          <w:spacing w:val="-1"/>
          <w:w w:val="105"/>
          <w:sz w:val="23"/>
          <w:szCs w:val="23"/>
        </w:rPr>
        <w:t xml:space="preserve"> </w:t>
      </w:r>
      <w:r w:rsidRPr="042859A7">
        <w:rPr>
          <w:color w:val="010101"/>
          <w:w w:val="105"/>
          <w:sz w:val="23"/>
          <w:szCs w:val="23"/>
        </w:rPr>
        <w:t>CHL, as</w:t>
      </w:r>
      <w:r w:rsidRPr="042859A7">
        <w:rPr>
          <w:color w:val="010101"/>
          <w:spacing w:val="-1"/>
          <w:w w:val="105"/>
          <w:sz w:val="23"/>
          <w:szCs w:val="23"/>
        </w:rPr>
        <w:t xml:space="preserve"> </w:t>
      </w:r>
      <w:r w:rsidRPr="042859A7">
        <w:rPr>
          <w:color w:val="010101"/>
          <w:w w:val="105"/>
          <w:sz w:val="23"/>
          <w:szCs w:val="23"/>
        </w:rPr>
        <w:t>the preferred development partner, was recommended after evaluation by Council advisers CBRE and a team of Council Officers.</w:t>
      </w:r>
    </w:p>
    <w:p w14:paraId="25127F81" w14:textId="64CDC4D0" w:rsidR="00AF1DF5" w:rsidRPr="006E28B0" w:rsidRDefault="00BF199F" w:rsidP="042859A7">
      <w:pPr>
        <w:pStyle w:val="bParagraphtext"/>
        <w:rPr>
          <w:rFonts w:ascii="CIDFont+F1" w:hAnsi="CIDFont+F1" w:cs="CIDFont+F1"/>
          <w:color w:val="auto"/>
        </w:rPr>
      </w:pPr>
      <w:r>
        <w:rPr>
          <w:w w:val="105"/>
        </w:rPr>
        <w:t>It</w:t>
      </w:r>
      <w:r>
        <w:rPr>
          <w:spacing w:val="-11"/>
          <w:w w:val="105"/>
        </w:rPr>
        <w:t xml:space="preserve"> </w:t>
      </w:r>
      <w:r>
        <w:rPr>
          <w:w w:val="105"/>
        </w:rPr>
        <w:t>was</w:t>
      </w:r>
      <w:r>
        <w:rPr>
          <w:spacing w:val="-4"/>
          <w:w w:val="105"/>
        </w:rPr>
        <w:t xml:space="preserve"> </w:t>
      </w:r>
      <w:r>
        <w:rPr>
          <w:w w:val="105"/>
        </w:rPr>
        <w:t>agreed</w:t>
      </w:r>
      <w:r>
        <w:rPr>
          <w:spacing w:val="-3"/>
          <w:w w:val="105"/>
        </w:rPr>
        <w:t xml:space="preserve"> </w:t>
      </w:r>
      <w:r>
        <w:rPr>
          <w:w w:val="105"/>
        </w:rPr>
        <w:t>to</w:t>
      </w:r>
      <w:r>
        <w:rPr>
          <w:spacing w:val="-11"/>
          <w:w w:val="105"/>
        </w:rPr>
        <w:t xml:space="preserve"> </w:t>
      </w:r>
      <w:r>
        <w:rPr>
          <w:w w:val="105"/>
        </w:rPr>
        <w:t>proceed with</w:t>
      </w:r>
      <w:r>
        <w:rPr>
          <w:spacing w:val="-3"/>
          <w:w w:val="105"/>
        </w:rPr>
        <w:t xml:space="preserve"> </w:t>
      </w:r>
      <w:r>
        <w:rPr>
          <w:w w:val="105"/>
        </w:rPr>
        <w:t>CHL</w:t>
      </w:r>
      <w:r>
        <w:rPr>
          <w:spacing w:val="-7"/>
          <w:w w:val="105"/>
        </w:rPr>
        <w:t xml:space="preserve"> </w:t>
      </w:r>
      <w:r>
        <w:rPr>
          <w:w w:val="105"/>
        </w:rPr>
        <w:t>on</w:t>
      </w:r>
      <w:r>
        <w:rPr>
          <w:spacing w:val="-9"/>
          <w:w w:val="105"/>
        </w:rPr>
        <w:t xml:space="preserve"> </w:t>
      </w:r>
      <w:r>
        <w:rPr>
          <w:w w:val="105"/>
        </w:rPr>
        <w:t>the</w:t>
      </w:r>
      <w:r>
        <w:rPr>
          <w:spacing w:val="-9"/>
          <w:w w:val="105"/>
        </w:rPr>
        <w:t xml:space="preserve"> </w:t>
      </w:r>
      <w:r>
        <w:rPr>
          <w:w w:val="105"/>
        </w:rPr>
        <w:t>understanding that</w:t>
      </w:r>
      <w:r>
        <w:rPr>
          <w:spacing w:val="-7"/>
          <w:w w:val="105"/>
        </w:rPr>
        <w:t xml:space="preserve"> </w:t>
      </w:r>
      <w:r>
        <w:rPr>
          <w:w w:val="105"/>
        </w:rPr>
        <w:t>the</w:t>
      </w:r>
      <w:r>
        <w:rPr>
          <w:spacing w:val="-7"/>
          <w:w w:val="105"/>
        </w:rPr>
        <w:t xml:space="preserve"> </w:t>
      </w:r>
      <w:r>
        <w:rPr>
          <w:w w:val="105"/>
        </w:rPr>
        <w:t>Development Agreement would allow for a stage where proposals would be developed to close</w:t>
      </w:r>
      <w:r>
        <w:rPr>
          <w:spacing w:val="-1"/>
          <w:w w:val="105"/>
        </w:rPr>
        <w:t xml:space="preserve"> </w:t>
      </w:r>
      <w:r>
        <w:rPr>
          <w:w w:val="105"/>
        </w:rPr>
        <w:t>the viability gap before moving forward to detailed design and planning</w:t>
      </w:r>
      <w:r w:rsidR="006E28B0">
        <w:rPr>
          <w:w w:val="105"/>
        </w:rPr>
        <w:t>.</w:t>
      </w:r>
    </w:p>
    <w:p w14:paraId="68D9F667" w14:textId="77777777" w:rsidR="006E28B0" w:rsidRDefault="00452D66" w:rsidP="042859A7">
      <w:pPr>
        <w:pStyle w:val="bParagraphtext"/>
        <w:rPr>
          <w:lang w:val="en-US"/>
        </w:rPr>
      </w:pPr>
      <w:r w:rsidRPr="4FAF83AA">
        <w:rPr>
          <w:lang w:val="en-US"/>
        </w:rPr>
        <w:t xml:space="preserve">On 18 September 2018, the then City Executive Board (CEB) delegated authority to the Regeneration and Economy </w:t>
      </w:r>
      <w:proofErr w:type="spellStart"/>
      <w:r w:rsidRPr="4FAF83AA">
        <w:rPr>
          <w:lang w:val="en-US"/>
        </w:rPr>
        <w:t>Programme</w:t>
      </w:r>
      <w:proofErr w:type="spellEnd"/>
      <w:r w:rsidRPr="4FAF83AA">
        <w:rPr>
          <w:lang w:val="en-US"/>
        </w:rPr>
        <w:t xml:space="preserve"> Director and the Head of Law and Governance, to </w:t>
      </w:r>
      <w:proofErr w:type="spellStart"/>
      <w:r w:rsidRPr="4FAF83AA">
        <w:rPr>
          <w:lang w:val="en-US"/>
        </w:rPr>
        <w:t>finalise</w:t>
      </w:r>
      <w:proofErr w:type="spellEnd"/>
      <w:r w:rsidRPr="4FAF83AA">
        <w:rPr>
          <w:lang w:val="en-US"/>
        </w:rPr>
        <w:t xml:space="preserve"> and enter into a Development Agreement with the CHL. It also delegated authority to the Regeneration and Economy </w:t>
      </w:r>
      <w:proofErr w:type="spellStart"/>
      <w:r w:rsidRPr="4FAF83AA">
        <w:rPr>
          <w:lang w:val="en-US"/>
        </w:rPr>
        <w:t>Programme</w:t>
      </w:r>
      <w:proofErr w:type="spellEnd"/>
      <w:r w:rsidRPr="4FAF83AA">
        <w:rPr>
          <w:lang w:val="en-US"/>
        </w:rPr>
        <w:t xml:space="preserve"> Director and the Head of Law and Governance, to agree external grant funding arrangements to support this project. The Development Agreement was agreed in May 2018.</w:t>
      </w:r>
    </w:p>
    <w:p w14:paraId="39F5CD98" w14:textId="77777777" w:rsidR="006E28B0" w:rsidRDefault="00452D66" w:rsidP="042859A7">
      <w:pPr>
        <w:pStyle w:val="bParagraphtext"/>
        <w:rPr>
          <w:lang w:val="en-US"/>
        </w:rPr>
      </w:pPr>
      <w:r w:rsidRPr="4FAF83AA">
        <w:rPr>
          <w:lang w:val="en-US"/>
        </w:rPr>
        <w:t xml:space="preserve">The Development Agreement sets out how the project is to be bought forward through a series of Gateways, where at key stages the schemes' viability is tested and agreed by both </w:t>
      </w:r>
      <w:proofErr w:type="spellStart"/>
      <w:proofErr w:type="gramStart"/>
      <w:r w:rsidRPr="4FAF83AA">
        <w:rPr>
          <w:lang w:val="en-US"/>
        </w:rPr>
        <w:t>parties.In</w:t>
      </w:r>
      <w:proofErr w:type="spellEnd"/>
      <w:proofErr w:type="gramEnd"/>
      <w:r w:rsidRPr="4FAF83AA">
        <w:rPr>
          <w:lang w:val="en-US"/>
        </w:rPr>
        <w:t xml:space="preserve"> 2022, Peabody Housing Association (PHA) merged with CHL and became Peabody in April 2023, who are continuing the development partnership on the Blackbird Leys regeneration project.</w:t>
      </w:r>
    </w:p>
    <w:p w14:paraId="6E814476" w14:textId="00D82FA3" w:rsidR="00505505" w:rsidRPr="0026499C" w:rsidRDefault="00452D66" w:rsidP="042859A7">
      <w:pPr>
        <w:pStyle w:val="bParagraphtext"/>
        <w:rPr>
          <w:lang w:val="en-US"/>
        </w:rPr>
      </w:pPr>
      <w:r w:rsidRPr="006E28B0">
        <w:rPr>
          <w:lang w:val="en-US"/>
        </w:rPr>
        <w:t>Since signing the Development Agreement in 2018, OCC officers have been working with development partners</w:t>
      </w:r>
      <w:r w:rsidR="00AF1DF5" w:rsidRPr="006E28B0">
        <w:rPr>
          <w:lang w:val="en-US"/>
        </w:rPr>
        <w:t xml:space="preserve"> </w:t>
      </w:r>
      <w:r w:rsidRPr="006E28B0">
        <w:rPr>
          <w:lang w:val="en-US"/>
        </w:rPr>
        <w:t>to achieve scheme efficiencies to close the viability gap</w:t>
      </w:r>
      <w:r w:rsidR="00AF1DF5" w:rsidRPr="006E28B0">
        <w:rPr>
          <w:lang w:val="en-US"/>
        </w:rPr>
        <w:t>, through Stages 1 and 2. The scheme continues to have considerable viability issues, and as such, Stage 2 viability work is ongoing.</w:t>
      </w:r>
    </w:p>
    <w:p w14:paraId="5EEB3DBE" w14:textId="4978B456" w:rsidR="7C75625F" w:rsidRDefault="2361AF62" w:rsidP="7C75625F">
      <w:pPr>
        <w:pStyle w:val="bParagraphtext"/>
        <w:rPr>
          <w:lang w:val="en-US"/>
        </w:rPr>
      </w:pPr>
      <w:r w:rsidRPr="6C484CEA">
        <w:rPr>
          <w:lang w:val="en-US"/>
        </w:rPr>
        <w:t xml:space="preserve">Planning consent for the development </w:t>
      </w:r>
      <w:r w:rsidRPr="62DEA58E">
        <w:rPr>
          <w:lang w:val="en-US"/>
        </w:rPr>
        <w:t xml:space="preserve">was </w:t>
      </w:r>
      <w:r w:rsidRPr="0C74A86D">
        <w:rPr>
          <w:lang w:val="en-US"/>
        </w:rPr>
        <w:t xml:space="preserve">granted </w:t>
      </w:r>
      <w:r w:rsidRPr="78D6DBAD">
        <w:rPr>
          <w:lang w:val="en-US"/>
        </w:rPr>
        <w:t>on</w:t>
      </w:r>
      <w:r w:rsidRPr="40BB168D">
        <w:rPr>
          <w:lang w:val="en-US"/>
        </w:rPr>
        <w:t xml:space="preserve"> </w:t>
      </w:r>
      <w:r w:rsidRPr="7201C0A8">
        <w:rPr>
          <w:lang w:val="en-US"/>
        </w:rPr>
        <w:t xml:space="preserve">25 </w:t>
      </w:r>
      <w:r w:rsidRPr="13CFA137">
        <w:rPr>
          <w:lang w:val="en-US"/>
        </w:rPr>
        <w:t xml:space="preserve">October </w:t>
      </w:r>
      <w:r w:rsidRPr="071561FF">
        <w:rPr>
          <w:lang w:val="en-US"/>
        </w:rPr>
        <w:t>2023.</w:t>
      </w:r>
    </w:p>
    <w:p w14:paraId="4FB8DD7C" w14:textId="03898B10" w:rsidR="0026499C" w:rsidRPr="0026499C" w:rsidRDefault="0026499C" w:rsidP="1C63D81F">
      <w:pPr>
        <w:pStyle w:val="bParagraphtext"/>
        <w:rPr>
          <w:lang w:val="en-US"/>
        </w:rPr>
      </w:pPr>
      <w:r w:rsidRPr="4FAF83AA">
        <w:rPr>
          <w:lang w:val="en-US"/>
        </w:rPr>
        <w:t>A Deed of Variation to the Development Agreement and other property agreements between OCC and PHA were completed in December 2023.</w:t>
      </w:r>
    </w:p>
    <w:p w14:paraId="5C399D8D" w14:textId="61731AE2" w:rsidR="0026499C" w:rsidRDefault="0026499C" w:rsidP="1C63D81F">
      <w:pPr>
        <w:pStyle w:val="bParagraphtext"/>
        <w:rPr>
          <w:lang w:val="en-US"/>
        </w:rPr>
      </w:pPr>
      <w:r w:rsidRPr="4FAF83AA">
        <w:rPr>
          <w:lang w:val="en-US"/>
        </w:rPr>
        <w:t>Work was commenced by contractors for PHA on all three of the Phase 1 sites in January 2024.</w:t>
      </w:r>
    </w:p>
    <w:p w14:paraId="0437A2F1" w14:textId="02321E0F" w:rsidR="005675D9" w:rsidRPr="006F310F" w:rsidRDefault="00DE5D2A" w:rsidP="4FAF83AA">
      <w:pPr>
        <w:pStyle w:val="bParagraphtext"/>
        <w:keepNext/>
        <w:numPr>
          <w:ilvl w:val="0"/>
          <w:numId w:val="0"/>
        </w:numPr>
      </w:pPr>
      <w:r w:rsidRPr="4FAF83AA">
        <w:rPr>
          <w:b/>
          <w:bCs/>
        </w:rPr>
        <w:t>RAT</w:t>
      </w:r>
      <w:r w:rsidR="005675D9" w:rsidRPr="4FAF83AA">
        <w:rPr>
          <w:b/>
          <w:bCs/>
        </w:rPr>
        <w:t>IONALE</w:t>
      </w:r>
      <w:r w:rsidR="005675D9">
        <w:t xml:space="preserve"> </w:t>
      </w:r>
      <w:r w:rsidR="005675D9" w:rsidRPr="4FAF83AA">
        <w:rPr>
          <w:b/>
          <w:bCs/>
        </w:rPr>
        <w:t xml:space="preserve">FOR </w:t>
      </w:r>
      <w:r w:rsidR="0032020C" w:rsidRPr="4FAF83AA">
        <w:rPr>
          <w:b/>
          <w:bCs/>
        </w:rPr>
        <w:t>USING COMPULSORY PURCHASE POWERS</w:t>
      </w:r>
    </w:p>
    <w:p w14:paraId="4C9FED42" w14:textId="33E8A4CC" w:rsidR="000C2B9D" w:rsidRDefault="2436E782" w:rsidP="62C5ACF8">
      <w:pPr>
        <w:pStyle w:val="bParagraphtext"/>
      </w:pPr>
      <w:r>
        <w:t xml:space="preserve">The delivery of Phase 2 will deliver more homes and provide wider environmental improvements to the District Centre. </w:t>
      </w:r>
      <w:proofErr w:type="gramStart"/>
      <w:r w:rsidR="006A7439">
        <w:t>In order to</w:t>
      </w:r>
      <w:proofErr w:type="gramEnd"/>
      <w:r w:rsidR="006A7439">
        <w:t xml:space="preserve"> progress </w:t>
      </w:r>
      <w:r w:rsidR="0032020C">
        <w:t xml:space="preserve">Phase 2 of </w:t>
      </w:r>
      <w:r w:rsidR="006A7439">
        <w:t xml:space="preserve">the Blackbird </w:t>
      </w:r>
      <w:r w:rsidR="006A7439">
        <w:lastRenderedPageBreak/>
        <w:t xml:space="preserve">Leys </w:t>
      </w:r>
      <w:r w:rsidR="0032020C">
        <w:t>D</w:t>
      </w:r>
      <w:r w:rsidR="006A7439">
        <w:t>evelopment</w:t>
      </w:r>
      <w:r w:rsidR="0032020C">
        <w:t xml:space="preserve"> Project</w:t>
      </w:r>
      <w:r w:rsidR="006A7439">
        <w:t xml:space="preserve">, </w:t>
      </w:r>
      <w:r w:rsidR="00BA3925">
        <w:t>OCC</w:t>
      </w:r>
      <w:r w:rsidR="006A7439">
        <w:t xml:space="preserve"> </w:t>
      </w:r>
      <w:r w:rsidR="0032020C">
        <w:t xml:space="preserve">considers that obtaining vacant possession of the land that is required for Phase 2 may need to be supported with a Compulsory Purchase Order. The CPO would only be used as a backstop </w:t>
      </w:r>
      <w:proofErr w:type="gramStart"/>
      <w:r w:rsidR="0032020C">
        <w:t>in the event that</w:t>
      </w:r>
      <w:proofErr w:type="gramEnd"/>
      <w:r w:rsidR="0032020C">
        <w:t xml:space="preserve"> OCC failed to purchase the land required by negotiation at market prices with the permitted additional payments permitted when purchasing under CPO conditions.</w:t>
      </w:r>
      <w:r w:rsidR="006A7439">
        <w:t xml:space="preserve"> </w:t>
      </w:r>
    </w:p>
    <w:p w14:paraId="7E47A00F" w14:textId="733D2A08" w:rsidR="006A7439" w:rsidRPr="006A7439" w:rsidRDefault="006A7439" w:rsidP="62C5ACF8">
      <w:pPr>
        <w:pStyle w:val="bParagraphtext"/>
      </w:pPr>
      <w:r>
        <w:t xml:space="preserve">The intent is to </w:t>
      </w:r>
      <w:r w:rsidR="0032020C">
        <w:t xml:space="preserve">start the process to prepare a CPO for the compulsory acquisition of the properties required to obtain vacant possession of the Phase 2 land. If following completion of the preparatory work for the CPO it is considered a CPO will be required Cabinet will be requested to consider a further report authorising the making of the CPO. </w:t>
      </w:r>
    </w:p>
    <w:p w14:paraId="6B3FDA8E" w14:textId="6DA4B789" w:rsidR="006E28B0" w:rsidRDefault="000C2B9D" w:rsidP="62C5ACF8">
      <w:pPr>
        <w:pStyle w:val="bParagraphtext"/>
      </w:pPr>
      <w:r>
        <w:t xml:space="preserve">The Council </w:t>
      </w:r>
      <w:r w:rsidR="00724059">
        <w:t>considers</w:t>
      </w:r>
      <w:r>
        <w:t xml:space="preserve"> it necessary</w:t>
      </w:r>
      <w:r w:rsidR="00724059">
        <w:t xml:space="preserve"> commence the process to prepare for a CPO to ensure that OCC is in the best position to ensure they can obtain vacant possession of the land required for the completion of Phase 2 of the </w:t>
      </w:r>
      <w:r>
        <w:t xml:space="preserve">Blackbird Leys </w:t>
      </w:r>
      <w:r w:rsidR="00724059">
        <w:t>Regeneration Project.</w:t>
      </w:r>
      <w:r>
        <w:t xml:space="preserve"> </w:t>
      </w:r>
      <w:r w:rsidR="006E28B0">
        <w:t xml:space="preserve">Appendix </w:t>
      </w:r>
      <w:r w:rsidR="00724059">
        <w:t>3</w:t>
      </w:r>
      <w:r w:rsidR="006E28B0">
        <w:t xml:space="preserve"> outlines some of the main benefits of the scheme.</w:t>
      </w:r>
    </w:p>
    <w:p w14:paraId="63C6FBB6" w14:textId="5B2B49B6" w:rsidR="0008065E" w:rsidRDefault="00AB4B1B" w:rsidP="4FAF83AA">
      <w:pPr>
        <w:pStyle w:val="bParagraphtext"/>
        <w:keepNext/>
        <w:numPr>
          <w:ilvl w:val="0"/>
          <w:numId w:val="0"/>
        </w:numPr>
      </w:pPr>
      <w:r w:rsidRPr="4FAF83AA">
        <w:rPr>
          <w:b/>
          <w:bCs/>
        </w:rPr>
        <w:t>LEGAL IMPLICATI</w:t>
      </w:r>
      <w:r w:rsidR="00DE5D2A" w:rsidRPr="4FAF83AA">
        <w:rPr>
          <w:b/>
          <w:bCs/>
        </w:rPr>
        <w:t>ONS</w:t>
      </w:r>
    </w:p>
    <w:p w14:paraId="6D7B9A88" w14:textId="58E87B66" w:rsidR="009C529A" w:rsidRDefault="009C529A" w:rsidP="3704FF68">
      <w:pPr>
        <w:pStyle w:val="bParagraphtext"/>
      </w:pPr>
      <w:r>
        <w:t xml:space="preserve">Compulsory </w:t>
      </w:r>
      <w:r w:rsidR="0067193E">
        <w:t xml:space="preserve">purchase orders should only be made where there is a compelling </w:t>
      </w:r>
      <w:r w:rsidR="00520F99">
        <w:t>case in the public interest.</w:t>
      </w:r>
    </w:p>
    <w:p w14:paraId="6C29D8CA" w14:textId="6F18B75A" w:rsidR="006C6E44" w:rsidRDefault="00AD28DD" w:rsidP="3704FF68">
      <w:pPr>
        <w:pStyle w:val="bParagraphtext"/>
      </w:pPr>
      <w:r>
        <w:t>Under section 226</w:t>
      </w:r>
      <w:r w:rsidR="00CD5438">
        <w:t>(1)(a) of the Town and Country Planning Act 1990</w:t>
      </w:r>
      <w:r w:rsidR="002C56F3">
        <w:t xml:space="preserve"> a local authority </w:t>
      </w:r>
      <w:r w:rsidR="008C6F0C">
        <w:t xml:space="preserve">may be authorised to compulsorily acquire any land in its area </w:t>
      </w:r>
      <w:r w:rsidR="00F75DB2">
        <w:t xml:space="preserve">if the authority thinks that the acquisition will facilitate the </w:t>
      </w:r>
      <w:r w:rsidR="002317C4">
        <w:t xml:space="preserve">carrying out of development, re-development or improvement </w:t>
      </w:r>
      <w:r w:rsidR="001A3E17">
        <w:t xml:space="preserve">on or in relation to the land. </w:t>
      </w:r>
      <w:r w:rsidR="0074153E">
        <w:t xml:space="preserve">This power must </w:t>
      </w:r>
      <w:r w:rsidR="00C5507A">
        <w:t xml:space="preserve">only be exercised by a local authority </w:t>
      </w:r>
      <w:r w:rsidR="00D92136">
        <w:t>if the authority thinks that such development, re-development</w:t>
      </w:r>
      <w:r w:rsidR="003A6587">
        <w:t xml:space="preserve"> or improvement is likely to contribute to the achievement of any </w:t>
      </w:r>
      <w:r w:rsidR="006C6E44">
        <w:t>one or more of the following objectives:</w:t>
      </w:r>
    </w:p>
    <w:p w14:paraId="4CC7D5FB" w14:textId="2B73FCBB" w:rsidR="006F310F" w:rsidRDefault="00904D24" w:rsidP="4FAF83AA">
      <w:pPr>
        <w:pStyle w:val="bParagraphtext"/>
      </w:pPr>
      <w:r>
        <w:t>the promotion o</w:t>
      </w:r>
      <w:r w:rsidR="0085764A">
        <w:t>r improvement of the economic well</w:t>
      </w:r>
      <w:r w:rsidR="005C7CB5">
        <w:t>-</w:t>
      </w:r>
      <w:r w:rsidR="0085764A">
        <w:t xml:space="preserve">being of their </w:t>
      </w:r>
      <w:proofErr w:type="gramStart"/>
      <w:r w:rsidR="0085764A">
        <w:t>area;</w:t>
      </w:r>
      <w:proofErr w:type="gramEnd"/>
    </w:p>
    <w:p w14:paraId="2A87FFEB" w14:textId="7D4D4176" w:rsidR="0085764A" w:rsidRDefault="0085764A" w:rsidP="4FAF83AA">
      <w:pPr>
        <w:pStyle w:val="bParagraphtext"/>
      </w:pPr>
      <w:r>
        <w:t>the promotion or improvement of the social well</w:t>
      </w:r>
      <w:r w:rsidR="005C7CB5">
        <w:t xml:space="preserve">-being of their </w:t>
      </w:r>
      <w:proofErr w:type="gramStart"/>
      <w:r w:rsidR="005C7CB5">
        <w:t>area;</w:t>
      </w:r>
      <w:proofErr w:type="gramEnd"/>
    </w:p>
    <w:p w14:paraId="3748220E" w14:textId="346BAAED" w:rsidR="005C7CB5" w:rsidRPr="0008065E" w:rsidRDefault="005C7CB5" w:rsidP="4FAF83AA">
      <w:pPr>
        <w:pStyle w:val="bParagraphtext"/>
      </w:pPr>
      <w:r>
        <w:t>the promotion or improvement of the environment</w:t>
      </w:r>
      <w:r w:rsidR="00FC16F9">
        <w:t>al well-being of their area.</w:t>
      </w:r>
    </w:p>
    <w:p w14:paraId="6DB2DCC6" w14:textId="61D95F21" w:rsidR="006F310F" w:rsidRPr="006F310F" w:rsidRDefault="00FD0257" w:rsidP="69B506E7">
      <w:pPr>
        <w:pStyle w:val="bParagraphtext"/>
        <w:rPr>
          <w:rFonts w:cs="Arial"/>
        </w:rPr>
      </w:pPr>
      <w:r>
        <w:t xml:space="preserve">Section </w:t>
      </w:r>
      <w:r w:rsidR="000E2223">
        <w:t>13 of the Local Government (</w:t>
      </w:r>
      <w:r w:rsidR="00D74D9F">
        <w:t xml:space="preserve">Miscellaneous Provisions) Act 1976 enables a local authority to </w:t>
      </w:r>
      <w:r w:rsidR="00C2571A">
        <w:t>be authorised to create new rights over land.</w:t>
      </w:r>
      <w:r w:rsidR="00836652">
        <w:t xml:space="preserve"> To the extent that it is practicable and appropriate in any individual case</w:t>
      </w:r>
      <w:r w:rsidR="006C4037">
        <w:t xml:space="preserve">, the acquisition </w:t>
      </w:r>
      <w:r w:rsidR="00C8481C">
        <w:t>of new rights is to avoid or limit the extent of permanent land acquisition.</w:t>
      </w:r>
    </w:p>
    <w:p w14:paraId="4F8D283A" w14:textId="794D0474" w:rsidR="006F310F" w:rsidRPr="006F310F" w:rsidRDefault="00F87D41" w:rsidP="4FAF83AA">
      <w:pPr>
        <w:pStyle w:val="bParagraphtext"/>
      </w:pPr>
      <w:r>
        <w:t xml:space="preserve">Under </w:t>
      </w:r>
      <w:r w:rsidR="004640B0">
        <w:t xml:space="preserve">section 149 of Equality Act 2010 a local authority when exercising public functions </w:t>
      </w:r>
      <w:r w:rsidR="006275E9">
        <w:t>must have due regard to the need to (a) eliminate discrimination</w:t>
      </w:r>
      <w:r w:rsidR="00B71F60">
        <w:t xml:space="preserve">, harassment, victimisation and any other conduct is prohibited by </w:t>
      </w:r>
      <w:r w:rsidR="003907DC">
        <w:t xml:space="preserve">or under the Act, (b) advance equality of opportunity </w:t>
      </w:r>
      <w:r w:rsidR="008958F4">
        <w:t xml:space="preserve">between persons who share a relevant protected characteristic </w:t>
      </w:r>
      <w:r w:rsidR="00A56FA7">
        <w:t>and persons who do not share it</w:t>
      </w:r>
      <w:r w:rsidR="00BB5AAC">
        <w:t>, (c)</w:t>
      </w:r>
      <w:r w:rsidR="00A27D0B" w:rsidRPr="00A27D0B">
        <w:rPr>
          <w:rFonts w:cs="Arial"/>
          <w:color w:val="1E1E1E"/>
          <w:shd w:val="clear" w:color="auto" w:fill="FFFFFF"/>
        </w:rPr>
        <w:t xml:space="preserve"> </w:t>
      </w:r>
      <w:r w:rsidR="00A27D0B">
        <w:rPr>
          <w:rFonts w:cs="Arial"/>
          <w:color w:val="1E1E1E"/>
          <w:shd w:val="clear" w:color="auto" w:fill="FFFFFF"/>
        </w:rPr>
        <w:t>f</w:t>
      </w:r>
      <w:r w:rsidR="00A27D0B" w:rsidRPr="00A27D0B">
        <w:t>oster good relations between persons who share a relevant protected characteristic and persons who do not share it.</w:t>
      </w:r>
      <w:r w:rsidR="00BB5AAC">
        <w:t xml:space="preserve"> </w:t>
      </w:r>
    </w:p>
    <w:p w14:paraId="19F7545C" w14:textId="39DDA340" w:rsidR="006F310F" w:rsidRPr="006F310F" w:rsidRDefault="00F20DB0" w:rsidP="4FAF83AA">
      <w:pPr>
        <w:pStyle w:val="bParagraphtext"/>
        <w:rPr>
          <w:rFonts w:cs="Arial"/>
        </w:rPr>
      </w:pPr>
      <w:r>
        <w:t xml:space="preserve">The purpose of this report is to authorise the taking of the </w:t>
      </w:r>
      <w:r w:rsidR="00724059">
        <w:t xml:space="preserve">preparation work required for the making of the CPO. </w:t>
      </w:r>
    </w:p>
    <w:p w14:paraId="21D0A9F8" w14:textId="53D617B8" w:rsidR="007C4C2B" w:rsidRPr="007C4C2B" w:rsidRDefault="00F40D48" w:rsidP="4FAF83AA">
      <w:pPr>
        <w:pStyle w:val="bParagraphtext"/>
        <w:rPr>
          <w:rFonts w:cs="Arial"/>
        </w:rPr>
      </w:pPr>
      <w:r w:rsidRPr="4FAF83AA">
        <w:rPr>
          <w:b/>
          <w:bCs/>
        </w:rPr>
        <w:lastRenderedPageBreak/>
        <w:t>I</w:t>
      </w:r>
      <w:r w:rsidR="00AB4B1B" w:rsidRPr="4FAF83AA">
        <w:rPr>
          <w:b/>
          <w:bCs/>
        </w:rPr>
        <w:t>MPACT ASSESSM</w:t>
      </w:r>
      <w:r w:rsidR="00DE5D2A" w:rsidRPr="4FAF83AA">
        <w:rPr>
          <w:b/>
          <w:bCs/>
        </w:rPr>
        <w:t>ENT</w:t>
      </w:r>
      <w:r>
        <w:t xml:space="preserve"> </w:t>
      </w:r>
    </w:p>
    <w:p w14:paraId="3C32C045" w14:textId="274FB3AD" w:rsidR="00E0470B" w:rsidRDefault="5553B007" w:rsidP="00EC3BC8">
      <w:pPr>
        <w:pStyle w:val="bParagraphtext"/>
      </w:pPr>
      <w:r>
        <w:t xml:space="preserve">The impact of </w:t>
      </w:r>
      <w:r w:rsidR="58691DAA">
        <w:t>the proposed decision to commence the process to utilise the Council’s CPO powers</w:t>
      </w:r>
      <w:r w:rsidR="00370B3A">
        <w:t xml:space="preserve"> </w:t>
      </w:r>
      <w:r>
        <w:t>is minimal</w:t>
      </w:r>
      <w:r w:rsidR="660A8F08">
        <w:t xml:space="preserve">. </w:t>
      </w:r>
      <w:proofErr w:type="spellStart"/>
      <w:r w:rsidR="660A8F08">
        <w:t>A</w:t>
      </w:r>
      <w:r w:rsidR="4FFF3AFD">
        <w:t>separate</w:t>
      </w:r>
      <w:proofErr w:type="spellEnd"/>
      <w:r w:rsidR="4FFF3AFD">
        <w:t xml:space="preserve"> decision on the substantive question as to whether to</w:t>
      </w:r>
      <w:r>
        <w:t xml:space="preserve"> </w:t>
      </w:r>
      <w:r w:rsidR="58691DAA">
        <w:t xml:space="preserve">make the CPO will be </w:t>
      </w:r>
      <w:r w:rsidR="26D68CAB">
        <w:t>covered in another Cabinet rep</w:t>
      </w:r>
      <w:r w:rsidR="79045636">
        <w:t>ort</w:t>
      </w:r>
      <w:r w:rsidR="26D68CAB">
        <w:t xml:space="preserve">. Another Cabinet report will be brought forward if </w:t>
      </w:r>
      <w:r w:rsidR="58691DAA">
        <w:t xml:space="preserve">it </w:t>
      </w:r>
      <w:proofErr w:type="spellStart"/>
      <w:r w:rsidR="2CED5B0C">
        <w:t>is</w:t>
      </w:r>
      <w:r w:rsidR="58691DAA">
        <w:t>considered</w:t>
      </w:r>
      <w:proofErr w:type="spellEnd"/>
      <w:r w:rsidR="58691DAA">
        <w:t xml:space="preserve"> that </w:t>
      </w:r>
      <w:r w:rsidR="28900E77">
        <w:t xml:space="preserve">it </w:t>
      </w:r>
      <w:r w:rsidR="58691DAA">
        <w:t xml:space="preserve">is necessary </w:t>
      </w:r>
      <w:r w:rsidR="28900E77">
        <w:t xml:space="preserve">to </w:t>
      </w:r>
      <w:r w:rsidR="58691DAA">
        <w:t xml:space="preserve">utilise the </w:t>
      </w:r>
      <w:r w:rsidR="5D74962F">
        <w:t xml:space="preserve">Council’s </w:t>
      </w:r>
      <w:r w:rsidR="58691DAA">
        <w:t xml:space="preserve">CPO powers </w:t>
      </w:r>
      <w:proofErr w:type="gramStart"/>
      <w:r w:rsidR="58691DAA">
        <w:t>in order to</w:t>
      </w:r>
      <w:proofErr w:type="gramEnd"/>
      <w:r w:rsidR="58691DAA">
        <w:t xml:space="preserve"> obtain vacant possession of the land </w:t>
      </w:r>
      <w:r w:rsidR="44D340D7">
        <w:t xml:space="preserve">that is </w:t>
      </w:r>
      <w:r w:rsidR="58691DAA">
        <w:t xml:space="preserve">required to enable Phase 2 of the Blackbird Leys Regeneration Project.  </w:t>
      </w:r>
    </w:p>
    <w:p w14:paraId="6537BEB0" w14:textId="37BF267E" w:rsidR="0053249E" w:rsidRPr="0053249E" w:rsidRDefault="0053249E" w:rsidP="0053249E">
      <w:pPr>
        <w:pStyle w:val="bParagraphtext"/>
        <w:numPr>
          <w:ilvl w:val="0"/>
          <w:numId w:val="0"/>
        </w:numPr>
        <w:ind w:left="360"/>
        <w:rPr>
          <w:b/>
          <w:bCs/>
        </w:rPr>
      </w:pPr>
      <w:r w:rsidRPr="0053249E">
        <w:rPr>
          <w:b/>
          <w:bCs/>
        </w:rPr>
        <w:t>RISKS</w:t>
      </w:r>
    </w:p>
    <w:p w14:paraId="473BA830" w14:textId="684340EB" w:rsidR="0BCF29A8" w:rsidRDefault="0F4079B9" w:rsidP="4FAF83AA">
      <w:pPr>
        <w:pStyle w:val="bParagraphtext"/>
      </w:pPr>
      <w:r>
        <w:t xml:space="preserve">The main risk and the reason for the CPO possibly being required is that if vacant possession of the land required for Phase 2 is </w:t>
      </w:r>
      <w:r w:rsidR="006413AE">
        <w:t xml:space="preserve">not </w:t>
      </w:r>
      <w:r>
        <w:t>obtained Phase 2 cannot be build out. This would re</w:t>
      </w:r>
      <w:r w:rsidR="556C8229">
        <w:t>sult in new homes not being provided.</w:t>
      </w:r>
    </w:p>
    <w:p w14:paraId="4F96E949" w14:textId="3E7857BA" w:rsidR="006F310F" w:rsidRDefault="005675D9" w:rsidP="0008065E">
      <w:pPr>
        <w:pStyle w:val="bParagraphtext"/>
        <w:numPr>
          <w:ilvl w:val="0"/>
          <w:numId w:val="0"/>
        </w:numPr>
        <w:ind w:left="360" w:hanging="360"/>
      </w:pPr>
      <w:r>
        <w:t xml:space="preserve">Refer to Appendix </w:t>
      </w:r>
      <w:r w:rsidR="003A7DA0">
        <w:t xml:space="preserve">2 </w:t>
      </w:r>
      <w:r w:rsidR="0008065E">
        <w:t>for the</w:t>
      </w:r>
      <w:r>
        <w:t xml:space="preserve"> </w:t>
      </w:r>
      <w:r w:rsidR="0008065E">
        <w:t>risk r</w:t>
      </w:r>
      <w:r>
        <w:t>egister</w:t>
      </w:r>
      <w:r w:rsidR="00DE5D2A">
        <w:t>.</w:t>
      </w:r>
    </w:p>
    <w:p w14:paraId="51FC37ED" w14:textId="77777777" w:rsidR="0008065E" w:rsidRPr="006F310F" w:rsidRDefault="0008065E" w:rsidP="0008065E">
      <w:pPr>
        <w:pStyle w:val="bParagraphtext"/>
        <w:numPr>
          <w:ilvl w:val="0"/>
          <w:numId w:val="0"/>
        </w:numPr>
        <w:ind w:left="360" w:hanging="360"/>
      </w:pPr>
    </w:p>
    <w:p w14:paraId="33962FDE" w14:textId="36E32335" w:rsidR="0008065E" w:rsidRDefault="006F310F" w:rsidP="4FAF83AA">
      <w:pPr>
        <w:pStyle w:val="bParagraphtext"/>
        <w:numPr>
          <w:ilvl w:val="0"/>
          <w:numId w:val="0"/>
        </w:numPr>
        <w:ind w:left="360" w:hanging="360"/>
      </w:pPr>
      <w:r w:rsidRPr="4FAF83AA">
        <w:rPr>
          <w:b/>
          <w:bCs/>
        </w:rPr>
        <w:t>CONSULTATION AND STAKEHOLDER ENGAGEM</w:t>
      </w:r>
      <w:r w:rsidR="00DE5D2A" w:rsidRPr="4FAF83AA">
        <w:rPr>
          <w:b/>
          <w:bCs/>
        </w:rPr>
        <w:t>ENT</w:t>
      </w:r>
    </w:p>
    <w:p w14:paraId="4FE96B30" w14:textId="1177B4B6" w:rsidR="00266108" w:rsidRPr="006F310F" w:rsidRDefault="00CA02CC" w:rsidP="603E92D3">
      <w:pPr>
        <w:pStyle w:val="bParagraphtext"/>
      </w:pPr>
      <w:r>
        <w:t xml:space="preserve">Prior to </w:t>
      </w:r>
      <w:r w:rsidR="003A7DA0">
        <w:t xml:space="preserve">making any decision to utilise the Council’s CPO powers will attempt to purchase </w:t>
      </w:r>
      <w:proofErr w:type="gramStart"/>
      <w:r w:rsidR="003A7DA0">
        <w:t>all of</w:t>
      </w:r>
      <w:proofErr w:type="gramEnd"/>
      <w:r w:rsidR="003A7DA0">
        <w:t xml:space="preserve"> the required properties by negotiation at market prices with the addition of the permitted additional payments allowed when purchasing properties under CPO conditions. </w:t>
      </w:r>
    </w:p>
    <w:p w14:paraId="4960DCFC" w14:textId="67F3F2E7" w:rsidR="0008065E" w:rsidRPr="006F310F" w:rsidRDefault="003A7DA0" w:rsidP="4FAF83AA">
      <w:pPr>
        <w:pStyle w:val="bParagraphtext"/>
      </w:pPr>
      <w:r>
        <w:t xml:space="preserve">An update on progress with the acquisition of properties required for Phase 2 will be included within any report that is needed </w:t>
      </w:r>
      <w:proofErr w:type="gramStart"/>
      <w:r>
        <w:t>in order to</w:t>
      </w:r>
      <w:proofErr w:type="gramEnd"/>
      <w:r>
        <w:t xml:space="preserve"> obtain authorisation </w:t>
      </w:r>
      <w:proofErr w:type="spellStart"/>
      <w:r>
        <w:t>fo</w:t>
      </w:r>
      <w:proofErr w:type="spellEnd"/>
      <w:r>
        <w:t xml:space="preserve"> the making of the CPO. </w:t>
      </w:r>
    </w:p>
    <w:p w14:paraId="57C8842D" w14:textId="25A87DAE" w:rsidR="0008065E" w:rsidRDefault="00370B3A" w:rsidP="4FAF83AA">
      <w:pPr>
        <w:pStyle w:val="bParagraphtext"/>
        <w:numPr>
          <w:ilvl w:val="0"/>
          <w:numId w:val="0"/>
        </w:numPr>
      </w:pPr>
      <w:r w:rsidRPr="4FAF83AA">
        <w:rPr>
          <w:b/>
          <w:bCs/>
        </w:rPr>
        <w:t>ALTERNATIVE OPTI</w:t>
      </w:r>
      <w:r w:rsidR="00DE5D2A" w:rsidRPr="4FAF83AA">
        <w:rPr>
          <w:b/>
          <w:bCs/>
        </w:rPr>
        <w:t>ONS</w:t>
      </w:r>
    </w:p>
    <w:p w14:paraId="5C5A53D9" w14:textId="4F394335" w:rsidR="1960A8E4" w:rsidRPr="006F310F" w:rsidRDefault="5F814A81" w:rsidP="4FAF83AA">
      <w:pPr>
        <w:pStyle w:val="bParagraphtext"/>
        <w:spacing w:line="259" w:lineRule="auto"/>
      </w:pPr>
      <w:r>
        <w:t>Do nothing. This would result in no uplift in the number of homes being provided beyond those being provided in Phase 1.</w:t>
      </w:r>
    </w:p>
    <w:p w14:paraId="6C1A91D1" w14:textId="77777777" w:rsidR="00266108" w:rsidRPr="006F310F" w:rsidRDefault="00266108" w:rsidP="0008065E">
      <w:pPr>
        <w:pStyle w:val="bParagraphtext"/>
        <w:numPr>
          <w:ilvl w:val="0"/>
          <w:numId w:val="0"/>
        </w:numPr>
      </w:pPr>
    </w:p>
    <w:p w14:paraId="1FAB09FE" w14:textId="746122BF" w:rsidR="006F310F" w:rsidRDefault="00AB4B1B" w:rsidP="4FAF83AA">
      <w:pPr>
        <w:pStyle w:val="bParagraphtext"/>
        <w:numPr>
          <w:ilvl w:val="0"/>
          <w:numId w:val="0"/>
        </w:numPr>
        <w:ind w:left="360" w:hanging="360"/>
      </w:pPr>
      <w:r w:rsidRPr="4FAF83AA">
        <w:rPr>
          <w:b/>
          <w:bCs/>
        </w:rPr>
        <w:t>FINANCIAL IMPLICATI</w:t>
      </w:r>
      <w:r w:rsidR="00DE5D2A" w:rsidRPr="4FAF83AA">
        <w:rPr>
          <w:b/>
          <w:bCs/>
        </w:rPr>
        <w:t>ONS</w:t>
      </w:r>
      <w:r w:rsidR="00F40D48">
        <w:t xml:space="preserve"> </w:t>
      </w:r>
    </w:p>
    <w:p w14:paraId="3B1CCDB3" w14:textId="77777777" w:rsidR="00D5439B" w:rsidRDefault="00D5439B" w:rsidP="00D5439B">
      <w:pPr>
        <w:pStyle w:val="bParagraphtext"/>
      </w:pPr>
      <w:r>
        <w:t xml:space="preserve">The approved project budget includes a total amount of £2,922,780 for the payment of purchase costs, compensation, home loss, and disturbance.  </w:t>
      </w:r>
    </w:p>
    <w:p w14:paraId="399E8CDC" w14:textId="26B1AAD5" w:rsidR="68B0C67C" w:rsidRDefault="68B0C67C" w:rsidP="4FAF83AA">
      <w:pPr>
        <w:pStyle w:val="bParagraphtext"/>
      </w:pPr>
      <w:r>
        <w:t xml:space="preserve">The following activities will </w:t>
      </w:r>
      <w:r w:rsidR="48033915">
        <w:t>require internal resources:</w:t>
      </w:r>
    </w:p>
    <w:p w14:paraId="115D740E" w14:textId="219C7F53" w:rsidR="48033915" w:rsidRDefault="48033915" w:rsidP="4FAF83AA">
      <w:pPr>
        <w:pStyle w:val="bParagraphtext"/>
      </w:pPr>
      <w:r>
        <w:t xml:space="preserve">Officer involvement </w:t>
      </w:r>
      <w:r w:rsidR="00082E46">
        <w:t xml:space="preserve">to prepare the necessary reports including a Statement of Reason to support the </w:t>
      </w:r>
      <w:proofErr w:type="gramStart"/>
      <w:r w:rsidR="00082E46">
        <w:t>CPO</w:t>
      </w:r>
      <w:proofErr w:type="gramEnd"/>
    </w:p>
    <w:p w14:paraId="1A1CD9F8" w14:textId="41DB882E" w:rsidR="4B9E3064" w:rsidRDefault="4B9E3064" w:rsidP="4FAF83AA">
      <w:pPr>
        <w:pStyle w:val="bParagraphtext"/>
      </w:pPr>
      <w:r>
        <w:t>Compilation of an Equalities Impact Assessment</w:t>
      </w:r>
    </w:p>
    <w:p w14:paraId="1FE7C271" w14:textId="4DA33A6F" w:rsidR="4B9E3064" w:rsidRDefault="4B9E3064" w:rsidP="4FAF83AA">
      <w:pPr>
        <w:pStyle w:val="bParagraphtext"/>
      </w:pPr>
      <w:r>
        <w:t>Internal legal advice</w:t>
      </w:r>
    </w:p>
    <w:p w14:paraId="6907525D" w14:textId="43D6CDCA" w:rsidR="006F310F" w:rsidRPr="00CF5F62" w:rsidRDefault="4B9E3064">
      <w:pPr>
        <w:pStyle w:val="bParagraphtext"/>
        <w:rPr>
          <w:color w:val="000000" w:themeColor="text1"/>
        </w:rPr>
      </w:pPr>
      <w:r>
        <w:t xml:space="preserve">There </w:t>
      </w:r>
      <w:r w:rsidR="1FF4FF49">
        <w:t xml:space="preserve">are </w:t>
      </w:r>
      <w:r>
        <w:t xml:space="preserve">also </w:t>
      </w:r>
      <w:r w:rsidR="0894FF65">
        <w:t xml:space="preserve">external </w:t>
      </w:r>
      <w:r w:rsidR="68689092">
        <w:t>cost</w:t>
      </w:r>
      <w:r w:rsidR="6C73B1B8">
        <w:t>s which will be funded from the budget for th</w:t>
      </w:r>
      <w:r w:rsidR="08504BEA">
        <w:t>i</w:t>
      </w:r>
      <w:r w:rsidR="6C73B1B8">
        <w:t>s project:</w:t>
      </w:r>
    </w:p>
    <w:p w14:paraId="67D75145" w14:textId="2B343915" w:rsidR="00CF5F62" w:rsidRDefault="00BE7B7A" w:rsidP="4FAF83AA">
      <w:pPr>
        <w:pStyle w:val="bParagraphtext"/>
        <w:rPr>
          <w:color w:val="000000" w:themeColor="text1"/>
        </w:rPr>
      </w:pPr>
      <w:r w:rsidRPr="4FAF83AA">
        <w:rPr>
          <w:color w:val="000000" w:themeColor="text1"/>
        </w:rPr>
        <w:lastRenderedPageBreak/>
        <w:t xml:space="preserve">Purchase </w:t>
      </w:r>
      <w:proofErr w:type="gramStart"/>
      <w:r w:rsidRPr="4FAF83AA">
        <w:rPr>
          <w:color w:val="000000" w:themeColor="text1"/>
        </w:rPr>
        <w:t>costs</w:t>
      </w:r>
      <w:proofErr w:type="gramEnd"/>
    </w:p>
    <w:p w14:paraId="737FC016" w14:textId="4D19B36D" w:rsidR="00BE7B7A" w:rsidRDefault="008E7CB7" w:rsidP="4FAF83AA">
      <w:pPr>
        <w:pStyle w:val="bParagraphtext"/>
        <w:rPr>
          <w:color w:val="000000" w:themeColor="text1"/>
        </w:rPr>
      </w:pPr>
      <w:r w:rsidRPr="4FAF83AA">
        <w:rPr>
          <w:color w:val="000000" w:themeColor="text1"/>
        </w:rPr>
        <w:t>Compensation</w:t>
      </w:r>
    </w:p>
    <w:p w14:paraId="7A6AC861" w14:textId="2AF8EBA3" w:rsidR="008B0E59" w:rsidRPr="006F310F" w:rsidRDefault="000541ED" w:rsidP="4FAF83AA">
      <w:pPr>
        <w:pStyle w:val="bParagraphtext"/>
        <w:rPr>
          <w:color w:val="000000" w:themeColor="text1"/>
        </w:rPr>
      </w:pPr>
      <w:r w:rsidRPr="4FAF83AA">
        <w:rPr>
          <w:color w:val="000000" w:themeColor="text1"/>
        </w:rPr>
        <w:t>Home Loss &amp; Disturbance Payments</w:t>
      </w:r>
    </w:p>
    <w:p w14:paraId="3331742A" w14:textId="22A690C7" w:rsidR="00BA3925" w:rsidRDefault="00D33EAA" w:rsidP="4FAF83AA">
      <w:pPr>
        <w:pStyle w:val="bParagraphtext"/>
      </w:pPr>
      <w:r>
        <w:t>E</w:t>
      </w:r>
      <w:r w:rsidR="3A47418F">
        <w:t xml:space="preserve">xternal </w:t>
      </w:r>
      <w:r w:rsidR="006F310F">
        <w:t>legal advice</w:t>
      </w:r>
      <w:r w:rsidR="2BACA0CE">
        <w:t xml:space="preserve"> </w:t>
      </w:r>
      <w:r w:rsidR="00082E46">
        <w:t xml:space="preserve">to review the </w:t>
      </w:r>
      <w:r w:rsidR="003A7DA0">
        <w:t xml:space="preserve">to review </w:t>
      </w:r>
      <w:r w:rsidR="00082E46">
        <w:t>the draft Statement of Reasons and other required documentation for the CPO.</w:t>
      </w:r>
    </w:p>
    <w:p w14:paraId="5A10D132" w14:textId="2AEBE135" w:rsidR="007D46AD" w:rsidRDefault="00102BCC" w:rsidP="002201E7">
      <w:pPr>
        <w:pStyle w:val="bParagraphtext"/>
      </w:pPr>
      <w:r>
        <w:t xml:space="preserve">The </w:t>
      </w:r>
      <w:r w:rsidR="001C3165">
        <w:t xml:space="preserve">allocated </w:t>
      </w:r>
      <w:r w:rsidR="008C1203">
        <w:t xml:space="preserve">project </w:t>
      </w:r>
      <w:r>
        <w:t xml:space="preserve">budget </w:t>
      </w:r>
      <w:r w:rsidR="001C54C8">
        <w:t>is</w:t>
      </w:r>
      <w:r>
        <w:t xml:space="preserve"> based on </w:t>
      </w:r>
      <w:r w:rsidR="0018652F">
        <w:t>current</w:t>
      </w:r>
      <w:r>
        <w:t xml:space="preserve"> cost estimates</w:t>
      </w:r>
      <w:r w:rsidR="003C0746">
        <w:t xml:space="preserve">. If </w:t>
      </w:r>
      <w:r w:rsidR="00900042">
        <w:t xml:space="preserve">additional costs are incurred due </w:t>
      </w:r>
      <w:r w:rsidR="004033BF">
        <w:t xml:space="preserve">to </w:t>
      </w:r>
      <w:r w:rsidR="00D771D6">
        <w:t xml:space="preserve">a </w:t>
      </w:r>
      <w:r w:rsidR="00BE352E">
        <w:t>legal challenge</w:t>
      </w:r>
      <w:r w:rsidR="00D771D6">
        <w:t xml:space="preserve"> resulting in </w:t>
      </w:r>
      <w:r w:rsidR="54E9D69E">
        <w:t>a public i</w:t>
      </w:r>
      <w:r w:rsidR="00D771D6">
        <w:t>nquiry</w:t>
      </w:r>
      <w:r w:rsidR="00266391">
        <w:t xml:space="preserve">, or </w:t>
      </w:r>
      <w:r w:rsidR="00010D3C">
        <w:t xml:space="preserve">acquisition </w:t>
      </w:r>
      <w:r w:rsidR="0072542C">
        <w:t>costs</w:t>
      </w:r>
      <w:r w:rsidR="00266391">
        <w:t xml:space="preserve"> increase</w:t>
      </w:r>
      <w:r w:rsidR="0072542C">
        <w:t xml:space="preserve"> significantly</w:t>
      </w:r>
      <w:r w:rsidR="00A5498C">
        <w:t>,</w:t>
      </w:r>
      <w:r w:rsidR="00BE352E">
        <w:t xml:space="preserve"> this budget </w:t>
      </w:r>
      <w:r w:rsidR="00912747">
        <w:t>will</w:t>
      </w:r>
      <w:r w:rsidR="00BE352E">
        <w:t xml:space="preserve"> need to be reviewed </w:t>
      </w:r>
      <w:r w:rsidR="00912747">
        <w:t>and</w:t>
      </w:r>
      <w:r w:rsidR="002C147A">
        <w:t xml:space="preserve"> a formal request</w:t>
      </w:r>
      <w:r w:rsidR="00B50860">
        <w:t xml:space="preserve"> </w:t>
      </w:r>
      <w:r w:rsidR="002C147A">
        <w:t xml:space="preserve">for </w:t>
      </w:r>
      <w:r w:rsidR="00FF78D5">
        <w:t xml:space="preserve">any </w:t>
      </w:r>
      <w:r w:rsidR="002C147A">
        <w:t xml:space="preserve">additional budget </w:t>
      </w:r>
      <w:r w:rsidR="00FF78D5">
        <w:t xml:space="preserve">required </w:t>
      </w:r>
      <w:r w:rsidR="0025064A">
        <w:t>w</w:t>
      </w:r>
      <w:r w:rsidR="00691804">
        <w:t>ill</w:t>
      </w:r>
      <w:r w:rsidR="0025064A">
        <w:t xml:space="preserve"> be </w:t>
      </w:r>
      <w:r w:rsidR="00EF6E6C">
        <w:t>submitted via the appropriate channels</w:t>
      </w:r>
      <w:r w:rsidR="00737483">
        <w:t>.</w:t>
      </w:r>
    </w:p>
    <w:p w14:paraId="3F62C18B" w14:textId="2D7BBE95" w:rsidR="00F2304D" w:rsidRDefault="00F2304D" w:rsidP="4FAF83AA">
      <w:pPr>
        <w:pStyle w:val="bParagraphtext"/>
        <w:numPr>
          <w:ilvl w:val="0"/>
          <w:numId w:val="0"/>
        </w:numPr>
        <w:ind w:left="360"/>
      </w:pPr>
    </w:p>
    <w:p w14:paraId="71AE9005" w14:textId="487E30B9" w:rsidR="00266108" w:rsidRPr="00BA3925" w:rsidRDefault="00BA3925" w:rsidP="00BA3925">
      <w:pPr>
        <w:pStyle w:val="bParagraphtext"/>
      </w:pPr>
      <w:r w:rsidRPr="00BA3925">
        <w:rPr>
          <w:b/>
        </w:rPr>
        <w:t>NE</w:t>
      </w:r>
      <w:r w:rsidR="00AB4B1B" w:rsidRPr="00BA3925">
        <w:rPr>
          <w:b/>
        </w:rPr>
        <w:t>XT ST</w:t>
      </w:r>
      <w:r>
        <w:rPr>
          <w:b/>
        </w:rPr>
        <w:t>EPS</w:t>
      </w:r>
      <w:r w:rsidR="00F40D48" w:rsidRPr="00BA3925">
        <w:t xml:space="preserve"> </w:t>
      </w:r>
    </w:p>
    <w:tbl>
      <w:tblPr>
        <w:tblStyle w:val="TableGrid"/>
        <w:tblW w:w="0" w:type="auto"/>
        <w:tblInd w:w="360" w:type="dxa"/>
        <w:tblLook w:val="04A0" w:firstRow="1" w:lastRow="0" w:firstColumn="1" w:lastColumn="0" w:noHBand="0" w:noVBand="1"/>
      </w:tblPr>
      <w:tblGrid>
        <w:gridCol w:w="4880"/>
        <w:gridCol w:w="3827"/>
      </w:tblGrid>
      <w:tr w:rsidR="00266108" w:rsidRPr="006F310F" w14:paraId="136FD8F9" w14:textId="77777777" w:rsidTr="004C15AD">
        <w:tc>
          <w:tcPr>
            <w:tcW w:w="4880" w:type="dxa"/>
          </w:tcPr>
          <w:p w14:paraId="5BEECCF7" w14:textId="3602DBBD" w:rsidR="00266108" w:rsidRPr="006F310F" w:rsidRDefault="00266108" w:rsidP="00266108">
            <w:pPr>
              <w:pStyle w:val="ListParagraph"/>
              <w:spacing w:before="100" w:beforeAutospacing="1" w:after="100" w:afterAutospacing="1"/>
              <w:rPr>
                <w:rFonts w:cs="Arial"/>
                <w:color w:val="222222"/>
              </w:rPr>
            </w:pPr>
            <w:r w:rsidRPr="006F310F">
              <w:rPr>
                <w:rFonts w:cs="Arial"/>
                <w:color w:val="222222"/>
              </w:rPr>
              <w:t>Cabinet Approval</w:t>
            </w:r>
            <w:r w:rsidR="004C15AD">
              <w:rPr>
                <w:rFonts w:cs="Arial"/>
                <w:color w:val="222222"/>
              </w:rPr>
              <w:t xml:space="preserve"> for </w:t>
            </w:r>
            <w:r w:rsidR="00082E46">
              <w:rPr>
                <w:rFonts w:cs="Arial"/>
                <w:color w:val="222222"/>
              </w:rPr>
              <w:t>to commence the CPO process</w:t>
            </w:r>
          </w:p>
        </w:tc>
        <w:tc>
          <w:tcPr>
            <w:tcW w:w="3827" w:type="dxa"/>
          </w:tcPr>
          <w:p w14:paraId="733A021C" w14:textId="7FD7602B" w:rsidR="00266108" w:rsidRPr="006F310F" w:rsidRDefault="00266108" w:rsidP="00266108">
            <w:pPr>
              <w:pStyle w:val="ListParagraph"/>
              <w:spacing w:before="100" w:beforeAutospacing="1" w:after="100" w:afterAutospacing="1"/>
              <w:rPr>
                <w:rFonts w:cs="Arial"/>
                <w:color w:val="222222"/>
              </w:rPr>
            </w:pPr>
            <w:r w:rsidRPr="006F310F">
              <w:rPr>
                <w:rFonts w:cs="Arial"/>
                <w:color w:val="222222"/>
              </w:rPr>
              <w:t xml:space="preserve">14 </w:t>
            </w:r>
            <w:r w:rsidR="00082E46">
              <w:rPr>
                <w:rFonts w:cs="Arial"/>
                <w:color w:val="222222"/>
              </w:rPr>
              <w:t>October</w:t>
            </w:r>
            <w:r w:rsidR="00082E46" w:rsidRPr="006F310F">
              <w:rPr>
                <w:rFonts w:cs="Arial"/>
                <w:color w:val="222222"/>
              </w:rPr>
              <w:t xml:space="preserve"> </w:t>
            </w:r>
            <w:r w:rsidRPr="006F310F">
              <w:rPr>
                <w:rFonts w:cs="Arial"/>
                <w:color w:val="222222"/>
              </w:rPr>
              <w:t>202</w:t>
            </w:r>
            <w:r w:rsidR="00082E46">
              <w:rPr>
                <w:rFonts w:cs="Arial"/>
                <w:color w:val="222222"/>
              </w:rPr>
              <w:t>4</w:t>
            </w:r>
          </w:p>
        </w:tc>
      </w:tr>
      <w:tr w:rsidR="00266108" w:rsidRPr="006F310F" w14:paraId="24F2B4F6" w14:textId="77777777" w:rsidTr="004C15AD">
        <w:tc>
          <w:tcPr>
            <w:tcW w:w="4880" w:type="dxa"/>
          </w:tcPr>
          <w:p w14:paraId="44E3720B" w14:textId="04913FB2" w:rsidR="00266108" w:rsidRPr="006F310F" w:rsidRDefault="00082E46" w:rsidP="00266108">
            <w:pPr>
              <w:pStyle w:val="ListParagraph"/>
              <w:spacing w:before="100" w:beforeAutospacing="1" w:after="100" w:afterAutospacing="1"/>
              <w:rPr>
                <w:rFonts w:cs="Arial"/>
                <w:color w:val="222222"/>
              </w:rPr>
            </w:pPr>
            <w:r>
              <w:rPr>
                <w:rFonts w:cs="Arial"/>
                <w:color w:val="222222"/>
              </w:rPr>
              <w:t>Drafting of documentation required for the CPO</w:t>
            </w:r>
          </w:p>
        </w:tc>
        <w:tc>
          <w:tcPr>
            <w:tcW w:w="3827" w:type="dxa"/>
          </w:tcPr>
          <w:p w14:paraId="649AE291" w14:textId="53453CB2" w:rsidR="00266108" w:rsidRPr="006F310F" w:rsidRDefault="00082E46" w:rsidP="00266108">
            <w:pPr>
              <w:pStyle w:val="ListParagraph"/>
              <w:spacing w:before="100" w:beforeAutospacing="1" w:after="100" w:afterAutospacing="1"/>
              <w:rPr>
                <w:rFonts w:cs="Arial"/>
                <w:color w:val="222222"/>
              </w:rPr>
            </w:pPr>
            <w:r>
              <w:rPr>
                <w:rFonts w:cs="Arial"/>
                <w:color w:val="222222"/>
              </w:rPr>
              <w:t>November 2024 to April 2025</w:t>
            </w:r>
          </w:p>
        </w:tc>
      </w:tr>
      <w:tr w:rsidR="00266108" w:rsidRPr="006F310F" w14:paraId="4081DC03" w14:textId="77777777" w:rsidTr="004C15AD">
        <w:tc>
          <w:tcPr>
            <w:tcW w:w="4880" w:type="dxa"/>
          </w:tcPr>
          <w:p w14:paraId="7CB4A021" w14:textId="0C290A09" w:rsidR="00266108" w:rsidRPr="007C4C2B" w:rsidRDefault="003D1BE1" w:rsidP="00266108">
            <w:pPr>
              <w:pStyle w:val="ListParagraph"/>
              <w:spacing w:before="100" w:beforeAutospacing="1" w:after="100" w:afterAutospacing="1"/>
              <w:rPr>
                <w:rFonts w:cs="Arial"/>
                <w:color w:val="222222"/>
                <w:highlight w:val="yellow"/>
              </w:rPr>
            </w:pPr>
            <w:r w:rsidRPr="004C15AD">
              <w:rPr>
                <w:rFonts w:cs="Arial"/>
                <w:color w:val="222222"/>
              </w:rPr>
              <w:t>Report writing for cabinet approval</w:t>
            </w:r>
          </w:p>
        </w:tc>
        <w:tc>
          <w:tcPr>
            <w:tcW w:w="3827" w:type="dxa"/>
          </w:tcPr>
          <w:p w14:paraId="38701FD4" w14:textId="717055E4" w:rsidR="00266108" w:rsidRPr="007C4C2B" w:rsidRDefault="00266108" w:rsidP="204D85D3">
            <w:pPr>
              <w:pStyle w:val="ListParagraph"/>
              <w:spacing w:before="100" w:beforeAutospacing="1" w:after="100" w:afterAutospacing="1"/>
              <w:rPr>
                <w:rFonts w:cs="Arial"/>
                <w:color w:val="222222"/>
                <w:highlight w:val="yellow"/>
              </w:rPr>
            </w:pPr>
          </w:p>
        </w:tc>
      </w:tr>
      <w:tr w:rsidR="00266108" w:rsidRPr="006F310F" w14:paraId="6C17281F" w14:textId="77777777" w:rsidTr="004C15AD">
        <w:tc>
          <w:tcPr>
            <w:tcW w:w="4880" w:type="dxa"/>
          </w:tcPr>
          <w:p w14:paraId="5FC4B0AC" w14:textId="6B0CD564" w:rsidR="00266108" w:rsidRPr="00E57045" w:rsidRDefault="003D1BE1" w:rsidP="00266108">
            <w:pPr>
              <w:pStyle w:val="ListParagraph"/>
              <w:spacing w:before="100" w:beforeAutospacing="1" w:after="100" w:afterAutospacing="1"/>
              <w:rPr>
                <w:rFonts w:cs="Arial"/>
                <w:color w:val="222222"/>
              </w:rPr>
            </w:pPr>
            <w:r w:rsidRPr="00E57045">
              <w:rPr>
                <w:rFonts w:cs="Arial"/>
                <w:color w:val="222222"/>
              </w:rPr>
              <w:t>Cabinet Approval</w:t>
            </w:r>
            <w:r w:rsidR="004C15AD">
              <w:rPr>
                <w:rFonts w:cs="Arial"/>
                <w:color w:val="222222"/>
              </w:rPr>
              <w:t xml:space="preserve"> for </w:t>
            </w:r>
            <w:r w:rsidR="00082E46">
              <w:rPr>
                <w:rFonts w:cs="Arial"/>
                <w:color w:val="222222"/>
              </w:rPr>
              <w:t xml:space="preserve">Making the CPO (if it is considered necessary) </w:t>
            </w:r>
          </w:p>
        </w:tc>
        <w:tc>
          <w:tcPr>
            <w:tcW w:w="3827" w:type="dxa"/>
          </w:tcPr>
          <w:p w14:paraId="17BA95F2" w14:textId="51539F4E" w:rsidR="00266108" w:rsidRPr="00E57045" w:rsidRDefault="00082E46" w:rsidP="204D85D3">
            <w:pPr>
              <w:pStyle w:val="ListParagraph"/>
              <w:spacing w:before="100" w:beforeAutospacing="1" w:after="100" w:afterAutospacing="1"/>
              <w:rPr>
                <w:rFonts w:cs="Arial"/>
                <w:color w:val="222222"/>
              </w:rPr>
            </w:pPr>
            <w:r>
              <w:rPr>
                <w:rFonts w:cs="Arial"/>
                <w:color w:val="222222"/>
              </w:rPr>
              <w:t>30</w:t>
            </w:r>
            <w:r w:rsidR="00E57045" w:rsidRPr="00E57045">
              <w:rPr>
                <w:rFonts w:cs="Arial"/>
                <w:color w:val="222222"/>
              </w:rPr>
              <w:t>/0</w:t>
            </w:r>
            <w:r>
              <w:rPr>
                <w:rFonts w:cs="Arial"/>
                <w:color w:val="222222"/>
              </w:rPr>
              <w:t>6</w:t>
            </w:r>
            <w:r w:rsidR="00E57045" w:rsidRPr="00E57045">
              <w:rPr>
                <w:rFonts w:cs="Arial"/>
                <w:color w:val="222222"/>
              </w:rPr>
              <w:t>/202</w:t>
            </w:r>
            <w:r>
              <w:rPr>
                <w:rFonts w:cs="Arial"/>
                <w:color w:val="222222"/>
              </w:rPr>
              <w:t>5</w:t>
            </w:r>
          </w:p>
        </w:tc>
      </w:tr>
      <w:tr w:rsidR="003D1BE1" w:rsidRPr="006F310F" w14:paraId="535C62E0" w14:textId="77777777" w:rsidTr="004C15AD">
        <w:tc>
          <w:tcPr>
            <w:tcW w:w="4880" w:type="dxa"/>
          </w:tcPr>
          <w:p w14:paraId="1CB3EBA9" w14:textId="77777777" w:rsidR="003D1BE1" w:rsidRPr="006F310F" w:rsidRDefault="003D1BE1" w:rsidP="00266108">
            <w:pPr>
              <w:pStyle w:val="ListParagraph"/>
              <w:spacing w:before="100" w:beforeAutospacing="1" w:after="100" w:afterAutospacing="1"/>
              <w:rPr>
                <w:rFonts w:cs="Arial"/>
                <w:color w:val="222222"/>
              </w:rPr>
            </w:pPr>
          </w:p>
        </w:tc>
        <w:tc>
          <w:tcPr>
            <w:tcW w:w="3827" w:type="dxa"/>
          </w:tcPr>
          <w:p w14:paraId="3D647EAC" w14:textId="77777777" w:rsidR="003D1BE1" w:rsidRPr="006F310F" w:rsidRDefault="003D1BE1" w:rsidP="00266108">
            <w:pPr>
              <w:pStyle w:val="ListParagraph"/>
              <w:spacing w:before="100" w:beforeAutospacing="1" w:after="100" w:afterAutospacing="1"/>
              <w:rPr>
                <w:rFonts w:cs="Arial"/>
                <w:color w:val="222222"/>
              </w:rPr>
            </w:pPr>
          </w:p>
        </w:tc>
      </w:tr>
    </w:tbl>
    <w:p w14:paraId="77A2DBED" w14:textId="77777777" w:rsidR="002329CF" w:rsidRPr="006F310F" w:rsidRDefault="002329CF" w:rsidP="006D736A"/>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6F310F" w14:paraId="7540D54B"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3DDBFBD9" w14:textId="450ED146" w:rsidR="00E87F7A" w:rsidRPr="006F310F" w:rsidRDefault="00E87F7A" w:rsidP="00A46E98">
            <w:pPr>
              <w:rPr>
                <w:b/>
              </w:rPr>
            </w:pPr>
            <w:r w:rsidRPr="006F310F">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3B598B46" w14:textId="1C943A57" w:rsidR="00E87F7A" w:rsidRPr="006F310F" w:rsidRDefault="00082E46" w:rsidP="00A46E98">
            <w:r>
              <w:t>Bruce McRobie</w:t>
            </w:r>
            <w:r w:rsidR="00796808" w:rsidRPr="006F310F">
              <w:t xml:space="preserve"> – </w:t>
            </w:r>
            <w:r>
              <w:t>Commercial Programme Surveyor</w:t>
            </w:r>
          </w:p>
        </w:tc>
      </w:tr>
      <w:tr w:rsidR="00DF093E" w:rsidRPr="006F310F" w14:paraId="61AEFA4A" w14:textId="77777777" w:rsidTr="00A46E98">
        <w:trPr>
          <w:cantSplit/>
          <w:trHeight w:val="396"/>
        </w:trPr>
        <w:tc>
          <w:tcPr>
            <w:tcW w:w="3969" w:type="dxa"/>
            <w:tcBorders>
              <w:top w:val="nil"/>
              <w:left w:val="single" w:sz="8" w:space="0" w:color="000000"/>
              <w:bottom w:val="nil"/>
              <w:right w:val="nil"/>
            </w:tcBorders>
            <w:shd w:val="clear" w:color="auto" w:fill="auto"/>
          </w:tcPr>
          <w:p w14:paraId="6BB47A1F" w14:textId="77777777" w:rsidR="00E87F7A" w:rsidRPr="006F310F" w:rsidRDefault="00E87F7A" w:rsidP="00A46E98">
            <w:r w:rsidRPr="006F310F">
              <w:t>Service area or department</w:t>
            </w:r>
          </w:p>
        </w:tc>
        <w:tc>
          <w:tcPr>
            <w:tcW w:w="4962" w:type="dxa"/>
            <w:tcBorders>
              <w:top w:val="nil"/>
              <w:left w:val="nil"/>
              <w:bottom w:val="nil"/>
              <w:right w:val="single" w:sz="8" w:space="0" w:color="000000"/>
            </w:tcBorders>
            <w:shd w:val="clear" w:color="auto" w:fill="auto"/>
          </w:tcPr>
          <w:p w14:paraId="05BDE962" w14:textId="6D79C9F8" w:rsidR="00E87F7A" w:rsidRPr="006F310F" w:rsidRDefault="00082E46" w:rsidP="00A46E98">
            <w:r>
              <w:t>Corporate Property</w:t>
            </w:r>
          </w:p>
        </w:tc>
      </w:tr>
      <w:tr w:rsidR="00DF093E" w:rsidRPr="006F310F" w14:paraId="368A5EAF" w14:textId="77777777" w:rsidTr="00A46E98">
        <w:trPr>
          <w:cantSplit/>
          <w:trHeight w:val="396"/>
        </w:trPr>
        <w:tc>
          <w:tcPr>
            <w:tcW w:w="3969" w:type="dxa"/>
            <w:tcBorders>
              <w:top w:val="nil"/>
              <w:left w:val="single" w:sz="8" w:space="0" w:color="000000"/>
              <w:bottom w:val="nil"/>
              <w:right w:val="nil"/>
            </w:tcBorders>
            <w:shd w:val="clear" w:color="auto" w:fill="auto"/>
          </w:tcPr>
          <w:p w14:paraId="10C4D0BD" w14:textId="77777777" w:rsidR="00E87F7A" w:rsidRPr="006F310F" w:rsidRDefault="00E87F7A" w:rsidP="00A46E98">
            <w:r w:rsidRPr="006F310F">
              <w:t xml:space="preserve">Telephone </w:t>
            </w:r>
          </w:p>
        </w:tc>
        <w:tc>
          <w:tcPr>
            <w:tcW w:w="4962" w:type="dxa"/>
            <w:tcBorders>
              <w:top w:val="nil"/>
              <w:left w:val="nil"/>
              <w:bottom w:val="nil"/>
              <w:right w:val="single" w:sz="8" w:space="0" w:color="000000"/>
            </w:tcBorders>
            <w:shd w:val="clear" w:color="auto" w:fill="auto"/>
          </w:tcPr>
          <w:p w14:paraId="69888CB1" w14:textId="74460E06" w:rsidR="00E87F7A" w:rsidRPr="00921095" w:rsidRDefault="00921095" w:rsidP="00E5215E">
            <w:r w:rsidRPr="00921095">
              <w:rPr>
                <w:rFonts w:eastAsiaTheme="minorEastAsia" w:cs="Arial"/>
                <w:bCs/>
                <w:noProof/>
                <w:color w:val="2E2E2E"/>
              </w:rPr>
              <w:t>0</w:t>
            </w:r>
            <w:r w:rsidR="00082E46">
              <w:rPr>
                <w:rFonts w:eastAsiaTheme="minorEastAsia" w:cs="Arial"/>
                <w:bCs/>
                <w:noProof/>
                <w:color w:val="2E2E2E"/>
              </w:rPr>
              <w:t>7</w:t>
            </w:r>
            <w:r w:rsidR="00082E46">
              <w:rPr>
                <w:rFonts w:eastAsiaTheme="minorEastAsia"/>
                <w:noProof/>
                <w:color w:val="2E2E2E"/>
              </w:rPr>
              <w:t>485 396143</w:t>
            </w:r>
          </w:p>
        </w:tc>
      </w:tr>
      <w:tr w:rsidR="005570B5" w:rsidRPr="006F310F" w14:paraId="17F4F5EE"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755F2721" w14:textId="77777777" w:rsidR="00E87F7A" w:rsidRPr="006F310F" w:rsidRDefault="00E87F7A" w:rsidP="00A46E98">
            <w:r w:rsidRPr="006F310F">
              <w:t xml:space="preserve">e-mail </w:t>
            </w:r>
          </w:p>
        </w:tc>
        <w:tc>
          <w:tcPr>
            <w:tcW w:w="4962" w:type="dxa"/>
            <w:tcBorders>
              <w:top w:val="nil"/>
              <w:left w:val="nil"/>
              <w:bottom w:val="single" w:sz="8" w:space="0" w:color="000000"/>
              <w:right w:val="single" w:sz="8" w:space="0" w:color="000000"/>
            </w:tcBorders>
            <w:shd w:val="clear" w:color="auto" w:fill="auto"/>
          </w:tcPr>
          <w:p w14:paraId="5E6D08BC" w14:textId="75720409" w:rsidR="00E87F7A" w:rsidRPr="006F310F" w:rsidRDefault="00E31832" w:rsidP="00A46E98">
            <w:pPr>
              <w:rPr>
                <w:rStyle w:val="Hyperlink"/>
                <w:color w:val="000000"/>
              </w:rPr>
            </w:pPr>
            <w:hyperlink r:id="rId12" w:history="1">
              <w:r w:rsidR="00082E46" w:rsidRPr="00082E46">
                <w:rPr>
                  <w:rStyle w:val="Hyperlink"/>
                  <w:rFonts w:cs="Arial"/>
                  <w:b/>
                  <w:bCs/>
                  <w:sz w:val="20"/>
                  <w:szCs w:val="20"/>
                </w:rPr>
                <w:t>bmcrobie@oxford.gov.uk</w:t>
              </w:r>
            </w:hyperlink>
          </w:p>
        </w:tc>
      </w:tr>
    </w:tbl>
    <w:p w14:paraId="2B8B78F0" w14:textId="77777777" w:rsidR="00433B96" w:rsidRPr="006F310F" w:rsidRDefault="00433B96"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4"/>
      </w:tblGrid>
      <w:tr w:rsidR="00DF093E" w:rsidRPr="006F310F" w14:paraId="69DACF5F" w14:textId="77777777" w:rsidTr="00A46E98">
        <w:tc>
          <w:tcPr>
            <w:tcW w:w="8931" w:type="dxa"/>
            <w:gridSpan w:val="2"/>
            <w:tcBorders>
              <w:top w:val="single" w:sz="4" w:space="0" w:color="auto"/>
              <w:left w:val="single" w:sz="4" w:space="0" w:color="auto"/>
              <w:bottom w:val="single" w:sz="8" w:space="0" w:color="000000"/>
              <w:right w:val="single" w:sz="4" w:space="0" w:color="auto"/>
            </w:tcBorders>
            <w:shd w:val="clear" w:color="auto" w:fill="auto"/>
          </w:tcPr>
          <w:p w14:paraId="20AB61FC" w14:textId="77777777" w:rsidR="0093067A" w:rsidRPr="006F310F" w:rsidRDefault="00182B81" w:rsidP="00E67B5F">
            <w:r w:rsidRPr="006F310F">
              <w:rPr>
                <w:rStyle w:val="Firstpagetablebold"/>
              </w:rPr>
              <w:t xml:space="preserve">Background Papers: </w:t>
            </w:r>
          </w:p>
        </w:tc>
      </w:tr>
      <w:tr w:rsidR="00DF093E" w:rsidRPr="006F310F" w14:paraId="20D7C9BB" w14:textId="77777777" w:rsidTr="00A46E98">
        <w:tc>
          <w:tcPr>
            <w:tcW w:w="567" w:type="dxa"/>
            <w:tcBorders>
              <w:top w:val="single" w:sz="8" w:space="0" w:color="000000"/>
              <w:left w:val="single" w:sz="8" w:space="0" w:color="000000"/>
              <w:bottom w:val="nil"/>
              <w:right w:val="nil"/>
            </w:tcBorders>
            <w:shd w:val="clear" w:color="auto" w:fill="auto"/>
          </w:tcPr>
          <w:p w14:paraId="0A524CA7" w14:textId="77777777" w:rsidR="0093067A" w:rsidRPr="006F310F" w:rsidRDefault="00182B81" w:rsidP="00F41AC1">
            <w:r w:rsidRPr="006F310F">
              <w:t>1</w:t>
            </w:r>
          </w:p>
        </w:tc>
        <w:tc>
          <w:tcPr>
            <w:tcW w:w="8364" w:type="dxa"/>
            <w:tcBorders>
              <w:top w:val="single" w:sz="8" w:space="0" w:color="000000"/>
              <w:left w:val="nil"/>
              <w:bottom w:val="nil"/>
              <w:right w:val="single" w:sz="8" w:space="0" w:color="000000"/>
            </w:tcBorders>
          </w:tcPr>
          <w:p w14:paraId="12534DAE" w14:textId="17EBDB60" w:rsidR="0093067A" w:rsidRPr="006F310F" w:rsidRDefault="0093067A" w:rsidP="005D0621"/>
        </w:tc>
      </w:tr>
      <w:tr w:rsidR="00DF093E" w:rsidRPr="006F310F" w14:paraId="00277536" w14:textId="77777777" w:rsidTr="00A46E98">
        <w:tc>
          <w:tcPr>
            <w:tcW w:w="567" w:type="dxa"/>
            <w:tcBorders>
              <w:top w:val="nil"/>
              <w:left w:val="single" w:sz="8" w:space="0" w:color="000000"/>
              <w:bottom w:val="nil"/>
              <w:right w:val="nil"/>
            </w:tcBorders>
            <w:shd w:val="clear" w:color="auto" w:fill="auto"/>
          </w:tcPr>
          <w:p w14:paraId="1162C348" w14:textId="77777777" w:rsidR="0093067A" w:rsidRPr="006F310F" w:rsidRDefault="00182B81" w:rsidP="00F41AC1">
            <w:r w:rsidRPr="006F310F">
              <w:t>2</w:t>
            </w:r>
          </w:p>
        </w:tc>
        <w:tc>
          <w:tcPr>
            <w:tcW w:w="8364" w:type="dxa"/>
            <w:tcBorders>
              <w:top w:val="nil"/>
              <w:left w:val="nil"/>
              <w:bottom w:val="nil"/>
              <w:right w:val="single" w:sz="8" w:space="0" w:color="000000"/>
            </w:tcBorders>
          </w:tcPr>
          <w:p w14:paraId="14EA6B6A" w14:textId="77777777" w:rsidR="0093067A" w:rsidRPr="006F310F" w:rsidRDefault="0093067A" w:rsidP="00F41AC1"/>
        </w:tc>
      </w:tr>
      <w:tr w:rsidR="00DF093E" w:rsidRPr="006F310F" w14:paraId="6FF06380" w14:textId="77777777" w:rsidTr="00A46E98">
        <w:tc>
          <w:tcPr>
            <w:tcW w:w="567" w:type="dxa"/>
            <w:tcBorders>
              <w:top w:val="nil"/>
              <w:left w:val="single" w:sz="8" w:space="0" w:color="000000"/>
              <w:bottom w:val="nil"/>
              <w:right w:val="nil"/>
            </w:tcBorders>
            <w:shd w:val="clear" w:color="auto" w:fill="auto"/>
          </w:tcPr>
          <w:p w14:paraId="04C858D6" w14:textId="77777777" w:rsidR="0093067A" w:rsidRPr="006F310F" w:rsidRDefault="00182B81" w:rsidP="00F41AC1">
            <w:r w:rsidRPr="006F310F">
              <w:t>3</w:t>
            </w:r>
          </w:p>
        </w:tc>
        <w:tc>
          <w:tcPr>
            <w:tcW w:w="8364" w:type="dxa"/>
            <w:tcBorders>
              <w:top w:val="nil"/>
              <w:left w:val="nil"/>
              <w:bottom w:val="nil"/>
              <w:right w:val="single" w:sz="8" w:space="0" w:color="000000"/>
            </w:tcBorders>
          </w:tcPr>
          <w:p w14:paraId="1504B069" w14:textId="77777777" w:rsidR="0093067A" w:rsidRPr="006F310F" w:rsidRDefault="0093067A" w:rsidP="00F41AC1"/>
        </w:tc>
      </w:tr>
      <w:tr w:rsidR="005570B5" w:rsidRPr="006F310F" w14:paraId="00A2367A" w14:textId="77777777" w:rsidTr="00A46E98">
        <w:tc>
          <w:tcPr>
            <w:tcW w:w="567" w:type="dxa"/>
            <w:tcBorders>
              <w:top w:val="nil"/>
              <w:left w:val="single" w:sz="8" w:space="0" w:color="000000"/>
              <w:bottom w:val="single" w:sz="8" w:space="0" w:color="000000"/>
              <w:right w:val="nil"/>
            </w:tcBorders>
            <w:shd w:val="clear" w:color="auto" w:fill="auto"/>
          </w:tcPr>
          <w:p w14:paraId="742617BA" w14:textId="77777777" w:rsidR="0093067A" w:rsidRPr="006F310F" w:rsidRDefault="00182B81" w:rsidP="00F41AC1">
            <w:r w:rsidRPr="006F310F">
              <w:t>4</w:t>
            </w:r>
          </w:p>
        </w:tc>
        <w:tc>
          <w:tcPr>
            <w:tcW w:w="8364" w:type="dxa"/>
            <w:tcBorders>
              <w:top w:val="nil"/>
              <w:left w:val="nil"/>
              <w:bottom w:val="single" w:sz="8" w:space="0" w:color="000000"/>
              <w:right w:val="single" w:sz="8" w:space="0" w:color="000000"/>
            </w:tcBorders>
          </w:tcPr>
          <w:p w14:paraId="7469244B" w14:textId="77777777" w:rsidR="0093067A" w:rsidRPr="006F310F" w:rsidRDefault="0093067A" w:rsidP="00F41AC1"/>
        </w:tc>
      </w:tr>
    </w:tbl>
    <w:p w14:paraId="6A10A914" w14:textId="77777777" w:rsidR="00CE4C87" w:rsidRPr="006F310F" w:rsidRDefault="00CE4C87" w:rsidP="0093067A"/>
    <w:sectPr w:rsidR="00CE4C87" w:rsidRPr="006F310F" w:rsidSect="00BC200B">
      <w:footerReference w:type="even" r:id="rId13"/>
      <w:headerReference w:type="first" r:id="rId14"/>
      <w:pgSz w:w="11906" w:h="16838" w:code="9"/>
      <w:pgMar w:top="1418" w:right="1304" w:bottom="1304"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F8BD0" w14:textId="77777777" w:rsidR="006229EE" w:rsidRDefault="006229EE" w:rsidP="004A6D2F">
      <w:r>
        <w:separator/>
      </w:r>
    </w:p>
  </w:endnote>
  <w:endnote w:type="continuationSeparator" w:id="0">
    <w:p w14:paraId="01B43A74" w14:textId="77777777" w:rsidR="006229EE" w:rsidRDefault="006229EE" w:rsidP="004A6D2F">
      <w:r>
        <w:continuationSeparator/>
      </w:r>
    </w:p>
  </w:endnote>
  <w:endnote w:type="continuationNotice" w:id="1">
    <w:p w14:paraId="19D0EF90" w14:textId="77777777" w:rsidR="006229EE" w:rsidRDefault="006229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3805" w14:textId="77777777" w:rsidR="00B32F04" w:rsidRDefault="00B32F04" w:rsidP="004A6D2F">
    <w:pPr>
      <w:pStyle w:val="Footer"/>
    </w:pPr>
    <w:r>
      <w:t>Do not use a footer or page numbers.</w:t>
    </w:r>
  </w:p>
  <w:p w14:paraId="6CE6189E" w14:textId="77777777" w:rsidR="00B32F04" w:rsidRDefault="00B32F04" w:rsidP="004A6D2F">
    <w:pPr>
      <w:pStyle w:val="Footer"/>
    </w:pPr>
  </w:p>
  <w:p w14:paraId="524B4887" w14:textId="77777777" w:rsidR="00B32F04" w:rsidRDefault="00B32F04" w:rsidP="004A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04E24" w14:textId="77777777" w:rsidR="006229EE" w:rsidRDefault="006229EE" w:rsidP="004A6D2F">
      <w:r>
        <w:separator/>
      </w:r>
    </w:p>
  </w:footnote>
  <w:footnote w:type="continuationSeparator" w:id="0">
    <w:p w14:paraId="2F42D026" w14:textId="77777777" w:rsidR="006229EE" w:rsidRDefault="006229EE" w:rsidP="004A6D2F">
      <w:r>
        <w:continuationSeparator/>
      </w:r>
    </w:p>
  </w:footnote>
  <w:footnote w:type="continuationNotice" w:id="1">
    <w:p w14:paraId="4E0B45B6" w14:textId="77777777" w:rsidR="006229EE" w:rsidRDefault="006229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6715" w14:textId="77777777" w:rsidR="00B32F04" w:rsidRDefault="00B32F04" w:rsidP="00D5547E">
    <w:pPr>
      <w:pStyle w:val="Header"/>
      <w:jc w:val="right"/>
    </w:pPr>
    <w:r>
      <w:rPr>
        <w:noProof/>
      </w:rPr>
      <w:drawing>
        <wp:inline distT="0" distB="0" distL="0" distR="0" wp14:anchorId="60158C3E" wp14:editId="35B21B43">
          <wp:extent cx="843280" cy="1117600"/>
          <wp:effectExtent l="0" t="0" r="0" b="6350"/>
          <wp:docPr id="4" name="Picture 4"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7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131"/>
    <w:multiLevelType w:val="multilevel"/>
    <w:tmpl w:val="7140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3009E"/>
    <w:multiLevelType w:val="multilevel"/>
    <w:tmpl w:val="1BF84914"/>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B1045B"/>
    <w:multiLevelType w:val="multilevel"/>
    <w:tmpl w:val="6E5638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620A44"/>
    <w:multiLevelType w:val="hybridMultilevel"/>
    <w:tmpl w:val="0BEA8328"/>
    <w:lvl w:ilvl="0" w:tplc="7CC65E44">
      <w:start w:val="1"/>
      <w:numFmt w:val="bullet"/>
      <w:lvlText w:val="-"/>
      <w:lvlJc w:val="left"/>
      <w:pPr>
        <w:ind w:left="437" w:hanging="360"/>
      </w:pPr>
      <w:rPr>
        <w:rFonts w:ascii="Arial" w:eastAsia="Times New Roman" w:hAnsi="Arial" w:cs="Aria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6" w15:restartNumberingAfterBreak="0">
    <w:nsid w:val="0EE779B5"/>
    <w:multiLevelType w:val="multilevel"/>
    <w:tmpl w:val="84983A04"/>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D40587"/>
    <w:multiLevelType w:val="multilevel"/>
    <w:tmpl w:val="431CE71E"/>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FF6D43"/>
    <w:multiLevelType w:val="multilevel"/>
    <w:tmpl w:val="84983A04"/>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0C1576"/>
    <w:multiLevelType w:val="multilevel"/>
    <w:tmpl w:val="84983A04"/>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CB3345"/>
    <w:multiLevelType w:val="multilevel"/>
    <w:tmpl w:val="84983A04"/>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89E638D"/>
    <w:multiLevelType w:val="multilevel"/>
    <w:tmpl w:val="84983A04"/>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77301E"/>
    <w:multiLevelType w:val="multilevel"/>
    <w:tmpl w:val="84983A04"/>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376BBA"/>
    <w:multiLevelType w:val="hybridMultilevel"/>
    <w:tmpl w:val="36DC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30DC8"/>
    <w:multiLevelType w:val="multilevel"/>
    <w:tmpl w:val="84983A04"/>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9553ADD"/>
    <w:multiLevelType w:val="multilevel"/>
    <w:tmpl w:val="D9DC4F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9C628B9"/>
    <w:multiLevelType w:val="multilevel"/>
    <w:tmpl w:val="84983A04"/>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A72DF9"/>
    <w:multiLevelType w:val="multilevel"/>
    <w:tmpl w:val="5A3ADB4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078F51"/>
    <w:multiLevelType w:val="multilevel"/>
    <w:tmpl w:val="FFFFFFFF"/>
    <w:lvl w:ilvl="0">
      <w:start w:val="1"/>
      <w:numFmt w:val="decimal"/>
      <w:lvlText w:val="%1."/>
      <w:lvlJc w:val="left"/>
      <w:pPr>
        <w:ind w:left="720" w:hanging="360"/>
      </w:pPr>
    </w:lvl>
    <w:lvl w:ilvl="1">
      <w:start w:val="2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54285AED"/>
    <w:multiLevelType w:val="hybridMultilevel"/>
    <w:tmpl w:val="F19EE0FE"/>
    <w:lvl w:ilvl="0" w:tplc="80BC1D92">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1" w15:restartNumberingAfterBreak="0">
    <w:nsid w:val="587D75B7"/>
    <w:multiLevelType w:val="hybridMultilevel"/>
    <w:tmpl w:val="A19A3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BE245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F25F5C"/>
    <w:multiLevelType w:val="multilevel"/>
    <w:tmpl w:val="84983A04"/>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F5335B0"/>
    <w:multiLevelType w:val="hybridMultilevel"/>
    <w:tmpl w:val="E4763A5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5" w15:restartNumberingAfterBreak="0">
    <w:nsid w:val="616944AC"/>
    <w:multiLevelType w:val="multilevel"/>
    <w:tmpl w:val="84983A04"/>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D4A7D2C"/>
    <w:multiLevelType w:val="hybridMultilevel"/>
    <w:tmpl w:val="9A02D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088938"/>
    <w:multiLevelType w:val="hybridMultilevel"/>
    <w:tmpl w:val="7C1CD64E"/>
    <w:lvl w:ilvl="0" w:tplc="1938EE76">
      <w:numFmt w:val="decimal"/>
      <w:lvlText w:val="%1."/>
      <w:lvlJc w:val="left"/>
      <w:pPr>
        <w:ind w:left="720" w:hanging="360"/>
      </w:pPr>
    </w:lvl>
    <w:lvl w:ilvl="1" w:tplc="E2902C18">
      <w:start w:val="1"/>
      <w:numFmt w:val="lowerLetter"/>
      <w:lvlText w:val="%2."/>
      <w:lvlJc w:val="left"/>
      <w:pPr>
        <w:ind w:left="1152" w:hanging="360"/>
      </w:pPr>
    </w:lvl>
    <w:lvl w:ilvl="2" w:tplc="F138AD1A">
      <w:start w:val="1"/>
      <w:numFmt w:val="lowerRoman"/>
      <w:lvlText w:val="%3."/>
      <w:lvlJc w:val="right"/>
      <w:pPr>
        <w:ind w:left="1584" w:hanging="180"/>
      </w:pPr>
    </w:lvl>
    <w:lvl w:ilvl="3" w:tplc="34ECC1A8">
      <w:start w:val="1"/>
      <w:numFmt w:val="decimal"/>
      <w:lvlText w:val="%4."/>
      <w:lvlJc w:val="left"/>
      <w:pPr>
        <w:ind w:left="2088" w:hanging="360"/>
      </w:pPr>
    </w:lvl>
    <w:lvl w:ilvl="4" w:tplc="06728F80">
      <w:start w:val="1"/>
      <w:numFmt w:val="lowerLetter"/>
      <w:lvlText w:val="%5."/>
      <w:lvlJc w:val="left"/>
      <w:pPr>
        <w:ind w:left="2592" w:hanging="360"/>
      </w:pPr>
    </w:lvl>
    <w:lvl w:ilvl="5" w:tplc="CF06B6E2">
      <w:start w:val="1"/>
      <w:numFmt w:val="lowerRoman"/>
      <w:lvlText w:val="%6."/>
      <w:lvlJc w:val="right"/>
      <w:pPr>
        <w:ind w:left="3096" w:hanging="180"/>
      </w:pPr>
    </w:lvl>
    <w:lvl w:ilvl="6" w:tplc="9686FD1C">
      <w:start w:val="1"/>
      <w:numFmt w:val="decimal"/>
      <w:lvlText w:val="%7."/>
      <w:lvlJc w:val="left"/>
      <w:pPr>
        <w:ind w:left="3600" w:hanging="360"/>
      </w:pPr>
    </w:lvl>
    <w:lvl w:ilvl="7" w:tplc="B55E650C">
      <w:start w:val="1"/>
      <w:numFmt w:val="lowerLetter"/>
      <w:lvlText w:val="%8."/>
      <w:lvlJc w:val="left"/>
      <w:pPr>
        <w:ind w:left="4104" w:hanging="360"/>
      </w:pPr>
    </w:lvl>
    <w:lvl w:ilvl="8" w:tplc="1810830C">
      <w:start w:val="1"/>
      <w:numFmt w:val="lowerRoman"/>
      <w:lvlText w:val="%9."/>
      <w:lvlJc w:val="right"/>
      <w:pPr>
        <w:ind w:left="4680" w:hanging="180"/>
      </w:pPr>
    </w:lvl>
  </w:abstractNum>
  <w:abstractNum w:abstractNumId="29" w15:restartNumberingAfterBreak="0">
    <w:nsid w:val="798365C6"/>
    <w:multiLevelType w:val="multilevel"/>
    <w:tmpl w:val="6E449F56"/>
    <w:lvl w:ilvl="0">
      <w:start w:val="1"/>
      <w:numFmt w:val="decimal"/>
      <w:pStyle w:val="bParagraphtext"/>
      <w:lvlText w:val="%1."/>
      <w:lvlJc w:val="left"/>
      <w:pPr>
        <w:ind w:left="360" w:hanging="360"/>
      </w:pPr>
      <w:rPr>
        <w:color w:val="000000"/>
        <w:sz w:val="24"/>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A54315F"/>
    <w:multiLevelType w:val="multilevel"/>
    <w:tmpl w:val="0809001F"/>
    <w:lvl w:ilvl="0">
      <w:start w:val="1"/>
      <w:numFmt w:val="decimal"/>
      <w:lvlText w:val="%1."/>
      <w:lvlJc w:val="left"/>
      <w:pPr>
        <w:ind w:left="786" w:hanging="360"/>
      </w:pPr>
    </w:lvl>
    <w:lvl w:ilvl="1">
      <w:start w:val="1"/>
      <w:numFmt w:val="decimal"/>
      <w:lvlText w:val="%1.%2."/>
      <w:lvlJc w:val="left"/>
      <w:pPr>
        <w:ind w:left="1000"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1" w15:restartNumberingAfterBreak="0">
    <w:nsid w:val="7BED18B8"/>
    <w:multiLevelType w:val="hybridMultilevel"/>
    <w:tmpl w:val="1522202E"/>
    <w:lvl w:ilvl="0" w:tplc="A692B526">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C5B7BEF"/>
    <w:multiLevelType w:val="multilevel"/>
    <w:tmpl w:val="A3403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4342334">
    <w:abstractNumId w:val="4"/>
  </w:num>
  <w:num w:numId="2" w16cid:durableId="2016417036">
    <w:abstractNumId w:val="28"/>
  </w:num>
  <w:num w:numId="3" w16cid:durableId="672341476">
    <w:abstractNumId w:val="1"/>
  </w:num>
  <w:num w:numId="4" w16cid:durableId="1045255423">
    <w:abstractNumId w:val="29"/>
  </w:num>
  <w:num w:numId="5" w16cid:durableId="803426572">
    <w:abstractNumId w:val="10"/>
  </w:num>
  <w:num w:numId="6" w16cid:durableId="435248522">
    <w:abstractNumId w:val="2"/>
  </w:num>
  <w:num w:numId="7" w16cid:durableId="826821793">
    <w:abstractNumId w:val="26"/>
  </w:num>
  <w:num w:numId="8" w16cid:durableId="266741989">
    <w:abstractNumId w:val="18"/>
  </w:num>
  <w:num w:numId="9" w16cid:durableId="1398669986">
    <w:abstractNumId w:val="3"/>
  </w:num>
  <w:num w:numId="10" w16cid:durableId="145558941">
    <w:abstractNumId w:val="31"/>
  </w:num>
  <w:num w:numId="11" w16cid:durableId="1964311176">
    <w:abstractNumId w:val="22"/>
  </w:num>
  <w:num w:numId="12" w16cid:durableId="1014845097">
    <w:abstractNumId w:val="30"/>
  </w:num>
  <w:num w:numId="13" w16cid:durableId="1814056762">
    <w:abstractNumId w:val="7"/>
  </w:num>
  <w:num w:numId="14" w16cid:durableId="1343505432">
    <w:abstractNumId w:val="29"/>
  </w:num>
  <w:num w:numId="15" w16cid:durableId="1780562580">
    <w:abstractNumId w:val="29"/>
  </w:num>
  <w:num w:numId="16" w16cid:durableId="73665878">
    <w:abstractNumId w:val="29"/>
  </w:num>
  <w:num w:numId="17" w16cid:durableId="41448505">
    <w:abstractNumId w:val="29"/>
  </w:num>
  <w:num w:numId="18" w16cid:durableId="797531584">
    <w:abstractNumId w:val="11"/>
  </w:num>
  <w:num w:numId="19" w16cid:durableId="873082403">
    <w:abstractNumId w:val="23"/>
  </w:num>
  <w:num w:numId="20" w16cid:durableId="39520324">
    <w:abstractNumId w:val="9"/>
  </w:num>
  <w:num w:numId="21" w16cid:durableId="1894079678">
    <w:abstractNumId w:val="15"/>
  </w:num>
  <w:num w:numId="22" w16cid:durableId="972756149">
    <w:abstractNumId w:val="13"/>
  </w:num>
  <w:num w:numId="23" w16cid:durableId="2099205507">
    <w:abstractNumId w:val="17"/>
  </w:num>
  <w:num w:numId="24" w16cid:durableId="1255505645">
    <w:abstractNumId w:val="12"/>
  </w:num>
  <w:num w:numId="25" w16cid:durableId="2026781525">
    <w:abstractNumId w:val="25"/>
  </w:num>
  <w:num w:numId="26" w16cid:durableId="777526374">
    <w:abstractNumId w:val="8"/>
  </w:num>
  <w:num w:numId="27" w16cid:durableId="1074662395">
    <w:abstractNumId w:val="6"/>
  </w:num>
  <w:num w:numId="28" w16cid:durableId="1342242976">
    <w:abstractNumId w:val="5"/>
  </w:num>
  <w:num w:numId="29" w16cid:durableId="1225796335">
    <w:abstractNumId w:val="21"/>
  </w:num>
  <w:num w:numId="30" w16cid:durableId="1993675548">
    <w:abstractNumId w:val="0"/>
  </w:num>
  <w:num w:numId="31" w16cid:durableId="1867449608">
    <w:abstractNumId w:val="32"/>
  </w:num>
  <w:num w:numId="32" w16cid:durableId="2125688633">
    <w:abstractNumId w:val="16"/>
  </w:num>
  <w:num w:numId="33" w16cid:durableId="1779371506">
    <w:abstractNumId w:val="20"/>
  </w:num>
  <w:num w:numId="34" w16cid:durableId="4295247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6049028">
    <w:abstractNumId w:val="19"/>
  </w:num>
  <w:num w:numId="36" w16cid:durableId="217397327">
    <w:abstractNumId w:val="24"/>
  </w:num>
  <w:num w:numId="37" w16cid:durableId="1496336881">
    <w:abstractNumId w:val="27"/>
  </w:num>
  <w:num w:numId="38" w16cid:durableId="1201018328">
    <w:abstractNumId w:val="29"/>
  </w:num>
  <w:num w:numId="39" w16cid:durableId="624701939">
    <w:abstractNumId w:val="29"/>
  </w:num>
  <w:num w:numId="40" w16cid:durableId="195043448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233"/>
    <w:rsid w:val="00000E39"/>
    <w:rsid w:val="0000117A"/>
    <w:rsid w:val="0000247C"/>
    <w:rsid w:val="000048AE"/>
    <w:rsid w:val="00007949"/>
    <w:rsid w:val="00010D3C"/>
    <w:rsid w:val="000117D4"/>
    <w:rsid w:val="00013066"/>
    <w:rsid w:val="0001456F"/>
    <w:rsid w:val="0001631F"/>
    <w:rsid w:val="00017DFF"/>
    <w:rsid w:val="00020423"/>
    <w:rsid w:val="00020BF1"/>
    <w:rsid w:val="00022553"/>
    <w:rsid w:val="00022B4B"/>
    <w:rsid w:val="00023F5E"/>
    <w:rsid w:val="00024465"/>
    <w:rsid w:val="00025A00"/>
    <w:rsid w:val="000268FF"/>
    <w:rsid w:val="000314D7"/>
    <w:rsid w:val="00032EFB"/>
    <w:rsid w:val="00033AAA"/>
    <w:rsid w:val="00035A04"/>
    <w:rsid w:val="0003623A"/>
    <w:rsid w:val="00040996"/>
    <w:rsid w:val="00042736"/>
    <w:rsid w:val="000436DA"/>
    <w:rsid w:val="00043857"/>
    <w:rsid w:val="00044D29"/>
    <w:rsid w:val="00044FA1"/>
    <w:rsid w:val="00045F8B"/>
    <w:rsid w:val="00046D2B"/>
    <w:rsid w:val="00047E3B"/>
    <w:rsid w:val="00050255"/>
    <w:rsid w:val="00050377"/>
    <w:rsid w:val="000541ED"/>
    <w:rsid w:val="000551EE"/>
    <w:rsid w:val="00056263"/>
    <w:rsid w:val="00060BEC"/>
    <w:rsid w:val="00060C09"/>
    <w:rsid w:val="00062C95"/>
    <w:rsid w:val="000635D3"/>
    <w:rsid w:val="00064D8A"/>
    <w:rsid w:val="00064F82"/>
    <w:rsid w:val="00066510"/>
    <w:rsid w:val="00066636"/>
    <w:rsid w:val="000746D8"/>
    <w:rsid w:val="000763F8"/>
    <w:rsid w:val="00077523"/>
    <w:rsid w:val="00077749"/>
    <w:rsid w:val="00080146"/>
    <w:rsid w:val="0008065E"/>
    <w:rsid w:val="0008085B"/>
    <w:rsid w:val="00082E46"/>
    <w:rsid w:val="0008503C"/>
    <w:rsid w:val="00090768"/>
    <w:rsid w:val="00094577"/>
    <w:rsid w:val="00095825"/>
    <w:rsid w:val="0009749E"/>
    <w:rsid w:val="0009760E"/>
    <w:rsid w:val="00097D3E"/>
    <w:rsid w:val="00097E4D"/>
    <w:rsid w:val="000A5D30"/>
    <w:rsid w:val="000A60E9"/>
    <w:rsid w:val="000B1537"/>
    <w:rsid w:val="000B1806"/>
    <w:rsid w:val="000B2023"/>
    <w:rsid w:val="000B23CD"/>
    <w:rsid w:val="000B35C7"/>
    <w:rsid w:val="000B3673"/>
    <w:rsid w:val="000B50BA"/>
    <w:rsid w:val="000B5694"/>
    <w:rsid w:val="000B759B"/>
    <w:rsid w:val="000C046C"/>
    <w:rsid w:val="000C089F"/>
    <w:rsid w:val="000C2ABD"/>
    <w:rsid w:val="000C2B9D"/>
    <w:rsid w:val="000C3928"/>
    <w:rsid w:val="000C4121"/>
    <w:rsid w:val="000C510B"/>
    <w:rsid w:val="000C5E8E"/>
    <w:rsid w:val="000C61B7"/>
    <w:rsid w:val="000C6423"/>
    <w:rsid w:val="000C6798"/>
    <w:rsid w:val="000D1EFE"/>
    <w:rsid w:val="000D1F49"/>
    <w:rsid w:val="000D2D73"/>
    <w:rsid w:val="000D31A7"/>
    <w:rsid w:val="000D31BF"/>
    <w:rsid w:val="000D696D"/>
    <w:rsid w:val="000D716D"/>
    <w:rsid w:val="000E2223"/>
    <w:rsid w:val="000E44C0"/>
    <w:rsid w:val="000F07D6"/>
    <w:rsid w:val="000F1C8D"/>
    <w:rsid w:val="000F2FD9"/>
    <w:rsid w:val="000F44F3"/>
    <w:rsid w:val="000F4751"/>
    <w:rsid w:val="000F6F0E"/>
    <w:rsid w:val="00102BCC"/>
    <w:rsid w:val="00103ABF"/>
    <w:rsid w:val="00104486"/>
    <w:rsid w:val="0010497B"/>
    <w:rsid w:val="0010524C"/>
    <w:rsid w:val="00105513"/>
    <w:rsid w:val="00105BB1"/>
    <w:rsid w:val="00106430"/>
    <w:rsid w:val="00107A9E"/>
    <w:rsid w:val="00111D28"/>
    <w:rsid w:val="00111FB1"/>
    <w:rsid w:val="001129AE"/>
    <w:rsid w:val="00113418"/>
    <w:rsid w:val="001144CB"/>
    <w:rsid w:val="001151E1"/>
    <w:rsid w:val="001177A2"/>
    <w:rsid w:val="00117E91"/>
    <w:rsid w:val="0012011D"/>
    <w:rsid w:val="0012292A"/>
    <w:rsid w:val="00123A3E"/>
    <w:rsid w:val="00125E61"/>
    <w:rsid w:val="001266DC"/>
    <w:rsid w:val="001300C2"/>
    <w:rsid w:val="0013032A"/>
    <w:rsid w:val="00130A87"/>
    <w:rsid w:val="001313AE"/>
    <w:rsid w:val="001354A0"/>
    <w:rsid w:val="001356F1"/>
    <w:rsid w:val="00135DA5"/>
    <w:rsid w:val="0013631D"/>
    <w:rsid w:val="00136531"/>
    <w:rsid w:val="00136994"/>
    <w:rsid w:val="001376D1"/>
    <w:rsid w:val="00137C4A"/>
    <w:rsid w:val="00140E0E"/>
    <w:rsid w:val="0014128E"/>
    <w:rsid w:val="00141618"/>
    <w:rsid w:val="00142404"/>
    <w:rsid w:val="00144B4B"/>
    <w:rsid w:val="00144EB9"/>
    <w:rsid w:val="001515FE"/>
    <w:rsid w:val="00151888"/>
    <w:rsid w:val="001544D2"/>
    <w:rsid w:val="00154C10"/>
    <w:rsid w:val="0015522A"/>
    <w:rsid w:val="0015558E"/>
    <w:rsid w:val="00155874"/>
    <w:rsid w:val="00155DB6"/>
    <w:rsid w:val="00156F8B"/>
    <w:rsid w:val="001638B5"/>
    <w:rsid w:val="00170A2D"/>
    <w:rsid w:val="0017220B"/>
    <w:rsid w:val="00172A3C"/>
    <w:rsid w:val="00172CC8"/>
    <w:rsid w:val="0017529A"/>
    <w:rsid w:val="001752AD"/>
    <w:rsid w:val="001758B9"/>
    <w:rsid w:val="00176137"/>
    <w:rsid w:val="00176709"/>
    <w:rsid w:val="001808BC"/>
    <w:rsid w:val="00182B81"/>
    <w:rsid w:val="00184D7B"/>
    <w:rsid w:val="0018511B"/>
    <w:rsid w:val="0018619D"/>
    <w:rsid w:val="0018652F"/>
    <w:rsid w:val="00186B11"/>
    <w:rsid w:val="00192DC9"/>
    <w:rsid w:val="001930B9"/>
    <w:rsid w:val="00193FC2"/>
    <w:rsid w:val="001A011E"/>
    <w:rsid w:val="001A066A"/>
    <w:rsid w:val="001A07FE"/>
    <w:rsid w:val="001A0948"/>
    <w:rsid w:val="001A13E6"/>
    <w:rsid w:val="001A3E17"/>
    <w:rsid w:val="001A5731"/>
    <w:rsid w:val="001A5D33"/>
    <w:rsid w:val="001B024E"/>
    <w:rsid w:val="001B1267"/>
    <w:rsid w:val="001B42C3"/>
    <w:rsid w:val="001B51BB"/>
    <w:rsid w:val="001B6753"/>
    <w:rsid w:val="001C17F0"/>
    <w:rsid w:val="001C24A7"/>
    <w:rsid w:val="001C3165"/>
    <w:rsid w:val="001C3C6D"/>
    <w:rsid w:val="001C54C8"/>
    <w:rsid w:val="001C5A42"/>
    <w:rsid w:val="001C5D5E"/>
    <w:rsid w:val="001D1607"/>
    <w:rsid w:val="001D2AB0"/>
    <w:rsid w:val="001D3C17"/>
    <w:rsid w:val="001D43AA"/>
    <w:rsid w:val="001D4489"/>
    <w:rsid w:val="001D6267"/>
    <w:rsid w:val="001D678D"/>
    <w:rsid w:val="001D74A0"/>
    <w:rsid w:val="001E03F8"/>
    <w:rsid w:val="001E0B7C"/>
    <w:rsid w:val="001E1678"/>
    <w:rsid w:val="001E3376"/>
    <w:rsid w:val="001E7359"/>
    <w:rsid w:val="001F679A"/>
    <w:rsid w:val="001F722A"/>
    <w:rsid w:val="00200E0C"/>
    <w:rsid w:val="0020171D"/>
    <w:rsid w:val="002069B3"/>
    <w:rsid w:val="00207416"/>
    <w:rsid w:val="00207BC0"/>
    <w:rsid w:val="00207DB2"/>
    <w:rsid w:val="00210312"/>
    <w:rsid w:val="002105E2"/>
    <w:rsid w:val="00211870"/>
    <w:rsid w:val="002127F9"/>
    <w:rsid w:val="00214A9F"/>
    <w:rsid w:val="00215222"/>
    <w:rsid w:val="00216FC0"/>
    <w:rsid w:val="0022019E"/>
    <w:rsid w:val="002201E7"/>
    <w:rsid w:val="00224710"/>
    <w:rsid w:val="00225CEE"/>
    <w:rsid w:val="0022694F"/>
    <w:rsid w:val="00226FB8"/>
    <w:rsid w:val="002317C4"/>
    <w:rsid w:val="00231C03"/>
    <w:rsid w:val="002329CF"/>
    <w:rsid w:val="00232F5B"/>
    <w:rsid w:val="002348DC"/>
    <w:rsid w:val="002368DB"/>
    <w:rsid w:val="00236CE7"/>
    <w:rsid w:val="00240F80"/>
    <w:rsid w:val="00241875"/>
    <w:rsid w:val="002432BE"/>
    <w:rsid w:val="00244662"/>
    <w:rsid w:val="00244AD7"/>
    <w:rsid w:val="00247C29"/>
    <w:rsid w:val="0025064A"/>
    <w:rsid w:val="00250B1A"/>
    <w:rsid w:val="00251336"/>
    <w:rsid w:val="00251A27"/>
    <w:rsid w:val="0025273B"/>
    <w:rsid w:val="00260467"/>
    <w:rsid w:val="00261107"/>
    <w:rsid w:val="00262EC4"/>
    <w:rsid w:val="00263EA3"/>
    <w:rsid w:val="0026451F"/>
    <w:rsid w:val="0026499C"/>
    <w:rsid w:val="00266108"/>
    <w:rsid w:val="00266345"/>
    <w:rsid w:val="00266391"/>
    <w:rsid w:val="00267885"/>
    <w:rsid w:val="002718A0"/>
    <w:rsid w:val="00272635"/>
    <w:rsid w:val="00272B61"/>
    <w:rsid w:val="00276F70"/>
    <w:rsid w:val="002770E2"/>
    <w:rsid w:val="002847C7"/>
    <w:rsid w:val="00284F85"/>
    <w:rsid w:val="00285CDF"/>
    <w:rsid w:val="0028618D"/>
    <w:rsid w:val="00290915"/>
    <w:rsid w:val="00290CDF"/>
    <w:rsid w:val="002941CE"/>
    <w:rsid w:val="0029519F"/>
    <w:rsid w:val="002974FB"/>
    <w:rsid w:val="002975C0"/>
    <w:rsid w:val="002A131B"/>
    <w:rsid w:val="002A22E2"/>
    <w:rsid w:val="002A4848"/>
    <w:rsid w:val="002B0208"/>
    <w:rsid w:val="002B4B51"/>
    <w:rsid w:val="002B7C58"/>
    <w:rsid w:val="002C147A"/>
    <w:rsid w:val="002C1C6D"/>
    <w:rsid w:val="002C37CC"/>
    <w:rsid w:val="002C56F3"/>
    <w:rsid w:val="002C6250"/>
    <w:rsid w:val="002C637E"/>
    <w:rsid w:val="002C64F7"/>
    <w:rsid w:val="002D1607"/>
    <w:rsid w:val="002D2778"/>
    <w:rsid w:val="002D3251"/>
    <w:rsid w:val="002D6E5A"/>
    <w:rsid w:val="002E0273"/>
    <w:rsid w:val="002E095F"/>
    <w:rsid w:val="002E0A7C"/>
    <w:rsid w:val="002E2A77"/>
    <w:rsid w:val="002E660E"/>
    <w:rsid w:val="002E6B8B"/>
    <w:rsid w:val="002E6FCD"/>
    <w:rsid w:val="002E728B"/>
    <w:rsid w:val="002F2122"/>
    <w:rsid w:val="002F21E3"/>
    <w:rsid w:val="002F2511"/>
    <w:rsid w:val="002F41F2"/>
    <w:rsid w:val="002F58C4"/>
    <w:rsid w:val="002F648A"/>
    <w:rsid w:val="002F65CF"/>
    <w:rsid w:val="002FEA4D"/>
    <w:rsid w:val="003019BE"/>
    <w:rsid w:val="00301BF3"/>
    <w:rsid w:val="0030208D"/>
    <w:rsid w:val="00306D47"/>
    <w:rsid w:val="00307A54"/>
    <w:rsid w:val="00311612"/>
    <w:rsid w:val="00312747"/>
    <w:rsid w:val="00313263"/>
    <w:rsid w:val="003132D2"/>
    <w:rsid w:val="003154AF"/>
    <w:rsid w:val="00317C40"/>
    <w:rsid w:val="0032020C"/>
    <w:rsid w:val="00320989"/>
    <w:rsid w:val="00322C5B"/>
    <w:rsid w:val="00323418"/>
    <w:rsid w:val="0032437B"/>
    <w:rsid w:val="003244E1"/>
    <w:rsid w:val="003246DB"/>
    <w:rsid w:val="003330CA"/>
    <w:rsid w:val="0033495C"/>
    <w:rsid w:val="003357BF"/>
    <w:rsid w:val="003358BD"/>
    <w:rsid w:val="00335E59"/>
    <w:rsid w:val="00336120"/>
    <w:rsid w:val="003418C8"/>
    <w:rsid w:val="003451D7"/>
    <w:rsid w:val="0034685C"/>
    <w:rsid w:val="00346EE4"/>
    <w:rsid w:val="00347CC2"/>
    <w:rsid w:val="003514A9"/>
    <w:rsid w:val="003516E4"/>
    <w:rsid w:val="00352EB2"/>
    <w:rsid w:val="0035309E"/>
    <w:rsid w:val="003563E7"/>
    <w:rsid w:val="00360C78"/>
    <w:rsid w:val="00364FAD"/>
    <w:rsid w:val="0036738F"/>
    <w:rsid w:val="0036759C"/>
    <w:rsid w:val="00367AE5"/>
    <w:rsid w:val="00367D71"/>
    <w:rsid w:val="00370B3A"/>
    <w:rsid w:val="003735CC"/>
    <w:rsid w:val="003762FB"/>
    <w:rsid w:val="0037693E"/>
    <w:rsid w:val="00380963"/>
    <w:rsid w:val="0038150A"/>
    <w:rsid w:val="003823B1"/>
    <w:rsid w:val="00386ABF"/>
    <w:rsid w:val="00386B2C"/>
    <w:rsid w:val="003907DC"/>
    <w:rsid w:val="00391355"/>
    <w:rsid w:val="00391AD2"/>
    <w:rsid w:val="0039638B"/>
    <w:rsid w:val="00396E2F"/>
    <w:rsid w:val="003A13CC"/>
    <w:rsid w:val="003A2233"/>
    <w:rsid w:val="003A36B0"/>
    <w:rsid w:val="003A4B9D"/>
    <w:rsid w:val="003A4C57"/>
    <w:rsid w:val="003A5379"/>
    <w:rsid w:val="003A6587"/>
    <w:rsid w:val="003A7DA0"/>
    <w:rsid w:val="003B01C6"/>
    <w:rsid w:val="003B1850"/>
    <w:rsid w:val="003B217E"/>
    <w:rsid w:val="003B2F10"/>
    <w:rsid w:val="003B591B"/>
    <w:rsid w:val="003B6E75"/>
    <w:rsid w:val="003B71CF"/>
    <w:rsid w:val="003B7DA1"/>
    <w:rsid w:val="003C049A"/>
    <w:rsid w:val="003C0746"/>
    <w:rsid w:val="003C0A35"/>
    <w:rsid w:val="003C3053"/>
    <w:rsid w:val="003C4E94"/>
    <w:rsid w:val="003C53E8"/>
    <w:rsid w:val="003C727D"/>
    <w:rsid w:val="003C7430"/>
    <w:rsid w:val="003D0379"/>
    <w:rsid w:val="003D0F25"/>
    <w:rsid w:val="003D1653"/>
    <w:rsid w:val="003D1BE1"/>
    <w:rsid w:val="003D1FF6"/>
    <w:rsid w:val="003D22E6"/>
    <w:rsid w:val="003D2574"/>
    <w:rsid w:val="003D3EAC"/>
    <w:rsid w:val="003D4C59"/>
    <w:rsid w:val="003D606C"/>
    <w:rsid w:val="003E6729"/>
    <w:rsid w:val="003E6EAB"/>
    <w:rsid w:val="003E7766"/>
    <w:rsid w:val="003E782B"/>
    <w:rsid w:val="003F0243"/>
    <w:rsid w:val="003F0A78"/>
    <w:rsid w:val="003F4267"/>
    <w:rsid w:val="003F64A3"/>
    <w:rsid w:val="004011E4"/>
    <w:rsid w:val="004033BF"/>
    <w:rsid w:val="00404032"/>
    <w:rsid w:val="0040736F"/>
    <w:rsid w:val="00410FC5"/>
    <w:rsid w:val="00412C1F"/>
    <w:rsid w:val="00412C7B"/>
    <w:rsid w:val="00414AD9"/>
    <w:rsid w:val="00415BD8"/>
    <w:rsid w:val="00417ECA"/>
    <w:rsid w:val="00420161"/>
    <w:rsid w:val="004212CD"/>
    <w:rsid w:val="00421CB2"/>
    <w:rsid w:val="0042528A"/>
    <w:rsid w:val="0042602F"/>
    <w:rsid w:val="004268B9"/>
    <w:rsid w:val="00430619"/>
    <w:rsid w:val="00432511"/>
    <w:rsid w:val="00433B96"/>
    <w:rsid w:val="004352CC"/>
    <w:rsid w:val="00440217"/>
    <w:rsid w:val="0044188F"/>
    <w:rsid w:val="004440F1"/>
    <w:rsid w:val="0044473F"/>
    <w:rsid w:val="004449E3"/>
    <w:rsid w:val="00444FD3"/>
    <w:rsid w:val="004456DD"/>
    <w:rsid w:val="00446CDF"/>
    <w:rsid w:val="004521B7"/>
    <w:rsid w:val="00452884"/>
    <w:rsid w:val="00452A78"/>
    <w:rsid w:val="00452AB2"/>
    <w:rsid w:val="00452D66"/>
    <w:rsid w:val="0045370F"/>
    <w:rsid w:val="0045454D"/>
    <w:rsid w:val="004568DD"/>
    <w:rsid w:val="0045795B"/>
    <w:rsid w:val="00460A15"/>
    <w:rsid w:val="00461F76"/>
    <w:rsid w:val="00462AB5"/>
    <w:rsid w:val="004640B0"/>
    <w:rsid w:val="004658FF"/>
    <w:rsid w:val="00465EAF"/>
    <w:rsid w:val="00467C7C"/>
    <w:rsid w:val="004705FD"/>
    <w:rsid w:val="00470B2B"/>
    <w:rsid w:val="004738C5"/>
    <w:rsid w:val="00473BEF"/>
    <w:rsid w:val="00473DB9"/>
    <w:rsid w:val="00477C74"/>
    <w:rsid w:val="00477CC2"/>
    <w:rsid w:val="00482EC8"/>
    <w:rsid w:val="00483D39"/>
    <w:rsid w:val="00491046"/>
    <w:rsid w:val="00491D67"/>
    <w:rsid w:val="0049311F"/>
    <w:rsid w:val="0049568F"/>
    <w:rsid w:val="00496125"/>
    <w:rsid w:val="004A2AC7"/>
    <w:rsid w:val="004A6D2F"/>
    <w:rsid w:val="004B053E"/>
    <w:rsid w:val="004B1916"/>
    <w:rsid w:val="004B3807"/>
    <w:rsid w:val="004B5DF1"/>
    <w:rsid w:val="004C15AD"/>
    <w:rsid w:val="004C2887"/>
    <w:rsid w:val="004C2BE7"/>
    <w:rsid w:val="004C3C67"/>
    <w:rsid w:val="004C3EF0"/>
    <w:rsid w:val="004C78BE"/>
    <w:rsid w:val="004D0512"/>
    <w:rsid w:val="004D1B40"/>
    <w:rsid w:val="004D2626"/>
    <w:rsid w:val="004D6E26"/>
    <w:rsid w:val="004D77D3"/>
    <w:rsid w:val="004E1EF6"/>
    <w:rsid w:val="004E2959"/>
    <w:rsid w:val="004E513C"/>
    <w:rsid w:val="004E6F99"/>
    <w:rsid w:val="004F01B3"/>
    <w:rsid w:val="004F0299"/>
    <w:rsid w:val="004F20EF"/>
    <w:rsid w:val="004F2648"/>
    <w:rsid w:val="004F3121"/>
    <w:rsid w:val="004F332E"/>
    <w:rsid w:val="004F44F1"/>
    <w:rsid w:val="004F4671"/>
    <w:rsid w:val="004F5A08"/>
    <w:rsid w:val="004F7B24"/>
    <w:rsid w:val="0050321C"/>
    <w:rsid w:val="0050405B"/>
    <w:rsid w:val="00505505"/>
    <w:rsid w:val="00505A77"/>
    <w:rsid w:val="00506104"/>
    <w:rsid w:val="005067EF"/>
    <w:rsid w:val="0051094E"/>
    <w:rsid w:val="00512875"/>
    <w:rsid w:val="005148D5"/>
    <w:rsid w:val="00520F99"/>
    <w:rsid w:val="00522F3D"/>
    <w:rsid w:val="00525F2D"/>
    <w:rsid w:val="00530FDF"/>
    <w:rsid w:val="0053249E"/>
    <w:rsid w:val="00534311"/>
    <w:rsid w:val="0053435F"/>
    <w:rsid w:val="00535852"/>
    <w:rsid w:val="00536C5C"/>
    <w:rsid w:val="005372E4"/>
    <w:rsid w:val="00543344"/>
    <w:rsid w:val="0054639B"/>
    <w:rsid w:val="0054712D"/>
    <w:rsid w:val="00547EF6"/>
    <w:rsid w:val="00550CD5"/>
    <w:rsid w:val="00551965"/>
    <w:rsid w:val="00552317"/>
    <w:rsid w:val="00552DAA"/>
    <w:rsid w:val="005570B5"/>
    <w:rsid w:val="00557D9B"/>
    <w:rsid w:val="00561091"/>
    <w:rsid w:val="00562646"/>
    <w:rsid w:val="005628A6"/>
    <w:rsid w:val="00564B0A"/>
    <w:rsid w:val="00565984"/>
    <w:rsid w:val="00565C4B"/>
    <w:rsid w:val="005660D5"/>
    <w:rsid w:val="0056650B"/>
    <w:rsid w:val="005675D9"/>
    <w:rsid w:val="00567E18"/>
    <w:rsid w:val="0057166A"/>
    <w:rsid w:val="00572321"/>
    <w:rsid w:val="00572F2A"/>
    <w:rsid w:val="005730E7"/>
    <w:rsid w:val="005749C4"/>
    <w:rsid w:val="00575F5F"/>
    <w:rsid w:val="00576981"/>
    <w:rsid w:val="00577C93"/>
    <w:rsid w:val="00581805"/>
    <w:rsid w:val="00582C82"/>
    <w:rsid w:val="00585F76"/>
    <w:rsid w:val="0059104E"/>
    <w:rsid w:val="00593D51"/>
    <w:rsid w:val="00594099"/>
    <w:rsid w:val="00594ED3"/>
    <w:rsid w:val="00597F95"/>
    <w:rsid w:val="005A046D"/>
    <w:rsid w:val="005A0DF1"/>
    <w:rsid w:val="005A0ED2"/>
    <w:rsid w:val="005A2C77"/>
    <w:rsid w:val="005A34E4"/>
    <w:rsid w:val="005A3DC1"/>
    <w:rsid w:val="005A40B8"/>
    <w:rsid w:val="005B134F"/>
    <w:rsid w:val="005B17F2"/>
    <w:rsid w:val="005B20F1"/>
    <w:rsid w:val="005B2B6D"/>
    <w:rsid w:val="005B4381"/>
    <w:rsid w:val="005B56F0"/>
    <w:rsid w:val="005B7AD8"/>
    <w:rsid w:val="005B7FB0"/>
    <w:rsid w:val="005C06E9"/>
    <w:rsid w:val="005C0EDF"/>
    <w:rsid w:val="005C35A5"/>
    <w:rsid w:val="005C3609"/>
    <w:rsid w:val="005C479B"/>
    <w:rsid w:val="005C5510"/>
    <w:rsid w:val="005C577C"/>
    <w:rsid w:val="005C7CB5"/>
    <w:rsid w:val="005C7FAD"/>
    <w:rsid w:val="005D0621"/>
    <w:rsid w:val="005D1E27"/>
    <w:rsid w:val="005D1F94"/>
    <w:rsid w:val="005D2475"/>
    <w:rsid w:val="005D2A3E"/>
    <w:rsid w:val="005D3E79"/>
    <w:rsid w:val="005D577B"/>
    <w:rsid w:val="005D5E16"/>
    <w:rsid w:val="005D6829"/>
    <w:rsid w:val="005D688C"/>
    <w:rsid w:val="005D72B3"/>
    <w:rsid w:val="005E022E"/>
    <w:rsid w:val="005E367A"/>
    <w:rsid w:val="005E41C6"/>
    <w:rsid w:val="005E426B"/>
    <w:rsid w:val="005E5215"/>
    <w:rsid w:val="005E65AB"/>
    <w:rsid w:val="005E7CBB"/>
    <w:rsid w:val="005F02E2"/>
    <w:rsid w:val="005F041F"/>
    <w:rsid w:val="005F6670"/>
    <w:rsid w:val="005F6D2F"/>
    <w:rsid w:val="005F7F7E"/>
    <w:rsid w:val="00601C10"/>
    <w:rsid w:val="0060319D"/>
    <w:rsid w:val="006050CE"/>
    <w:rsid w:val="00607E1B"/>
    <w:rsid w:val="00610904"/>
    <w:rsid w:val="00610FFC"/>
    <w:rsid w:val="00614693"/>
    <w:rsid w:val="00615CF3"/>
    <w:rsid w:val="0062227D"/>
    <w:rsid w:val="006229EE"/>
    <w:rsid w:val="00622B98"/>
    <w:rsid w:val="0062380E"/>
    <w:rsid w:val="00623C2F"/>
    <w:rsid w:val="00624743"/>
    <w:rsid w:val="00625F84"/>
    <w:rsid w:val="00626372"/>
    <w:rsid w:val="0062671A"/>
    <w:rsid w:val="006275E9"/>
    <w:rsid w:val="00627985"/>
    <w:rsid w:val="0063015E"/>
    <w:rsid w:val="00630DA0"/>
    <w:rsid w:val="00632097"/>
    <w:rsid w:val="00633578"/>
    <w:rsid w:val="00633A10"/>
    <w:rsid w:val="00635085"/>
    <w:rsid w:val="00635586"/>
    <w:rsid w:val="00635ED1"/>
    <w:rsid w:val="00637068"/>
    <w:rsid w:val="006370A9"/>
    <w:rsid w:val="006410A4"/>
    <w:rsid w:val="006413AE"/>
    <w:rsid w:val="00641F74"/>
    <w:rsid w:val="0064326D"/>
    <w:rsid w:val="00647A12"/>
    <w:rsid w:val="00650811"/>
    <w:rsid w:val="006513DD"/>
    <w:rsid w:val="006522D3"/>
    <w:rsid w:val="00652F2C"/>
    <w:rsid w:val="006532C3"/>
    <w:rsid w:val="00654277"/>
    <w:rsid w:val="00657559"/>
    <w:rsid w:val="00661D3E"/>
    <w:rsid w:val="00663BB6"/>
    <w:rsid w:val="006664A6"/>
    <w:rsid w:val="00666B68"/>
    <w:rsid w:val="006675B9"/>
    <w:rsid w:val="00670F4D"/>
    <w:rsid w:val="0067193E"/>
    <w:rsid w:val="00674714"/>
    <w:rsid w:val="0068057F"/>
    <w:rsid w:val="00681132"/>
    <w:rsid w:val="006822EB"/>
    <w:rsid w:val="00683E65"/>
    <w:rsid w:val="00687B51"/>
    <w:rsid w:val="00691804"/>
    <w:rsid w:val="00691CF2"/>
    <w:rsid w:val="00692627"/>
    <w:rsid w:val="006927B0"/>
    <w:rsid w:val="006969E7"/>
    <w:rsid w:val="00697479"/>
    <w:rsid w:val="006A3643"/>
    <w:rsid w:val="006A7439"/>
    <w:rsid w:val="006B2838"/>
    <w:rsid w:val="006B5DDA"/>
    <w:rsid w:val="006B6813"/>
    <w:rsid w:val="006C23CA"/>
    <w:rsid w:val="006C2A29"/>
    <w:rsid w:val="006C3AC7"/>
    <w:rsid w:val="006C4037"/>
    <w:rsid w:val="006C5BC1"/>
    <w:rsid w:val="006C64C5"/>
    <w:rsid w:val="006C64CF"/>
    <w:rsid w:val="006C6E44"/>
    <w:rsid w:val="006D0E71"/>
    <w:rsid w:val="006D17B1"/>
    <w:rsid w:val="006D2874"/>
    <w:rsid w:val="006D4752"/>
    <w:rsid w:val="006D708A"/>
    <w:rsid w:val="006D736A"/>
    <w:rsid w:val="006D7954"/>
    <w:rsid w:val="006E14C1"/>
    <w:rsid w:val="006E28B0"/>
    <w:rsid w:val="006E3E6F"/>
    <w:rsid w:val="006E3FDB"/>
    <w:rsid w:val="006E487D"/>
    <w:rsid w:val="006E5E9F"/>
    <w:rsid w:val="006E67B8"/>
    <w:rsid w:val="006E67EB"/>
    <w:rsid w:val="006F0292"/>
    <w:rsid w:val="006F18C1"/>
    <w:rsid w:val="006F1973"/>
    <w:rsid w:val="006F27FA"/>
    <w:rsid w:val="006F310F"/>
    <w:rsid w:val="006F36B4"/>
    <w:rsid w:val="006F416B"/>
    <w:rsid w:val="006F4D6C"/>
    <w:rsid w:val="006F519B"/>
    <w:rsid w:val="006F566F"/>
    <w:rsid w:val="006F7BD0"/>
    <w:rsid w:val="007032ED"/>
    <w:rsid w:val="00705726"/>
    <w:rsid w:val="00705870"/>
    <w:rsid w:val="00706FE4"/>
    <w:rsid w:val="00713675"/>
    <w:rsid w:val="00715823"/>
    <w:rsid w:val="0071713F"/>
    <w:rsid w:val="00724059"/>
    <w:rsid w:val="007246E7"/>
    <w:rsid w:val="0072542C"/>
    <w:rsid w:val="00725D38"/>
    <w:rsid w:val="007262CE"/>
    <w:rsid w:val="0073441E"/>
    <w:rsid w:val="00734C12"/>
    <w:rsid w:val="007365E7"/>
    <w:rsid w:val="00737483"/>
    <w:rsid w:val="00737B93"/>
    <w:rsid w:val="0074153E"/>
    <w:rsid w:val="007415EE"/>
    <w:rsid w:val="00742212"/>
    <w:rsid w:val="00742789"/>
    <w:rsid w:val="007443EE"/>
    <w:rsid w:val="0074547A"/>
    <w:rsid w:val="00745BF0"/>
    <w:rsid w:val="00746E9B"/>
    <w:rsid w:val="00747835"/>
    <w:rsid w:val="0075076B"/>
    <w:rsid w:val="00752394"/>
    <w:rsid w:val="00755106"/>
    <w:rsid w:val="007615FE"/>
    <w:rsid w:val="00762566"/>
    <w:rsid w:val="00763354"/>
    <w:rsid w:val="00763AE9"/>
    <w:rsid w:val="0076655C"/>
    <w:rsid w:val="00766785"/>
    <w:rsid w:val="0076798F"/>
    <w:rsid w:val="007742DC"/>
    <w:rsid w:val="00775F89"/>
    <w:rsid w:val="00777BBC"/>
    <w:rsid w:val="0078079E"/>
    <w:rsid w:val="0078281E"/>
    <w:rsid w:val="007834EC"/>
    <w:rsid w:val="00785D22"/>
    <w:rsid w:val="00791437"/>
    <w:rsid w:val="00795254"/>
    <w:rsid w:val="00796673"/>
    <w:rsid w:val="00796808"/>
    <w:rsid w:val="00797004"/>
    <w:rsid w:val="007A1A1E"/>
    <w:rsid w:val="007A26B7"/>
    <w:rsid w:val="007A2C6E"/>
    <w:rsid w:val="007A3336"/>
    <w:rsid w:val="007A6CCC"/>
    <w:rsid w:val="007A7719"/>
    <w:rsid w:val="007B0423"/>
    <w:rsid w:val="007B0C2C"/>
    <w:rsid w:val="007B21CF"/>
    <w:rsid w:val="007B278E"/>
    <w:rsid w:val="007B2CEE"/>
    <w:rsid w:val="007B368B"/>
    <w:rsid w:val="007B5406"/>
    <w:rsid w:val="007B7B6F"/>
    <w:rsid w:val="007C011E"/>
    <w:rsid w:val="007C08FF"/>
    <w:rsid w:val="007C4C2B"/>
    <w:rsid w:val="007C5C23"/>
    <w:rsid w:val="007C5F9E"/>
    <w:rsid w:val="007C6178"/>
    <w:rsid w:val="007C7446"/>
    <w:rsid w:val="007D3398"/>
    <w:rsid w:val="007D34FE"/>
    <w:rsid w:val="007D370C"/>
    <w:rsid w:val="007D46AD"/>
    <w:rsid w:val="007D4EFF"/>
    <w:rsid w:val="007D51F8"/>
    <w:rsid w:val="007D58F8"/>
    <w:rsid w:val="007E0165"/>
    <w:rsid w:val="007E1D45"/>
    <w:rsid w:val="007E2A26"/>
    <w:rsid w:val="007E35CB"/>
    <w:rsid w:val="007E3870"/>
    <w:rsid w:val="007E4EDB"/>
    <w:rsid w:val="007F11E3"/>
    <w:rsid w:val="007F2348"/>
    <w:rsid w:val="007F272C"/>
    <w:rsid w:val="007F4EAF"/>
    <w:rsid w:val="007F5389"/>
    <w:rsid w:val="007F5D37"/>
    <w:rsid w:val="008030B7"/>
    <w:rsid w:val="00803186"/>
    <w:rsid w:val="00803F07"/>
    <w:rsid w:val="00804651"/>
    <w:rsid w:val="0080749A"/>
    <w:rsid w:val="00807EA4"/>
    <w:rsid w:val="008118D9"/>
    <w:rsid w:val="00812991"/>
    <w:rsid w:val="00813164"/>
    <w:rsid w:val="008143E3"/>
    <w:rsid w:val="00816F28"/>
    <w:rsid w:val="008178F4"/>
    <w:rsid w:val="008206C7"/>
    <w:rsid w:val="00821FB8"/>
    <w:rsid w:val="00822784"/>
    <w:rsid w:val="00822ACD"/>
    <w:rsid w:val="008234B3"/>
    <w:rsid w:val="0082588E"/>
    <w:rsid w:val="008270BB"/>
    <w:rsid w:val="008277C4"/>
    <w:rsid w:val="00827CEA"/>
    <w:rsid w:val="00830042"/>
    <w:rsid w:val="00831229"/>
    <w:rsid w:val="008320FD"/>
    <w:rsid w:val="00832BDE"/>
    <w:rsid w:val="00834B69"/>
    <w:rsid w:val="00834EB5"/>
    <w:rsid w:val="00835294"/>
    <w:rsid w:val="008358F1"/>
    <w:rsid w:val="00836652"/>
    <w:rsid w:val="008424BB"/>
    <w:rsid w:val="00844282"/>
    <w:rsid w:val="00845274"/>
    <w:rsid w:val="0084559C"/>
    <w:rsid w:val="00847C97"/>
    <w:rsid w:val="00852E71"/>
    <w:rsid w:val="008547AB"/>
    <w:rsid w:val="0085545D"/>
    <w:rsid w:val="00855C66"/>
    <w:rsid w:val="008565FA"/>
    <w:rsid w:val="00856E1B"/>
    <w:rsid w:val="0085764A"/>
    <w:rsid w:val="00864031"/>
    <w:rsid w:val="008643D3"/>
    <w:rsid w:val="00871EE4"/>
    <w:rsid w:val="0087384B"/>
    <w:rsid w:val="00874CA8"/>
    <w:rsid w:val="008779D8"/>
    <w:rsid w:val="00880A33"/>
    <w:rsid w:val="0088104A"/>
    <w:rsid w:val="00883921"/>
    <w:rsid w:val="00885506"/>
    <w:rsid w:val="008858F4"/>
    <w:rsid w:val="00886A75"/>
    <w:rsid w:val="00887177"/>
    <w:rsid w:val="0089068A"/>
    <w:rsid w:val="00890D3A"/>
    <w:rsid w:val="00891434"/>
    <w:rsid w:val="0089145D"/>
    <w:rsid w:val="00891C31"/>
    <w:rsid w:val="00892DF9"/>
    <w:rsid w:val="008958F4"/>
    <w:rsid w:val="00896177"/>
    <w:rsid w:val="0089624D"/>
    <w:rsid w:val="008A0727"/>
    <w:rsid w:val="008A092B"/>
    <w:rsid w:val="008A69DC"/>
    <w:rsid w:val="008A784E"/>
    <w:rsid w:val="008B0E59"/>
    <w:rsid w:val="008B1D19"/>
    <w:rsid w:val="008B293F"/>
    <w:rsid w:val="008B42E3"/>
    <w:rsid w:val="008B5110"/>
    <w:rsid w:val="008B56E8"/>
    <w:rsid w:val="008B70DE"/>
    <w:rsid w:val="008B7371"/>
    <w:rsid w:val="008C1203"/>
    <w:rsid w:val="008C2B13"/>
    <w:rsid w:val="008C6467"/>
    <w:rsid w:val="008C6C59"/>
    <w:rsid w:val="008C6F0C"/>
    <w:rsid w:val="008D3DDB"/>
    <w:rsid w:val="008D75F8"/>
    <w:rsid w:val="008D788B"/>
    <w:rsid w:val="008E26A6"/>
    <w:rsid w:val="008E3EA3"/>
    <w:rsid w:val="008E7CB7"/>
    <w:rsid w:val="008F18C6"/>
    <w:rsid w:val="008F4D21"/>
    <w:rsid w:val="008F5435"/>
    <w:rsid w:val="008F573F"/>
    <w:rsid w:val="008F5F91"/>
    <w:rsid w:val="008F5FF6"/>
    <w:rsid w:val="008F6643"/>
    <w:rsid w:val="00900042"/>
    <w:rsid w:val="00900586"/>
    <w:rsid w:val="00901109"/>
    <w:rsid w:val="009034EC"/>
    <w:rsid w:val="00904D24"/>
    <w:rsid w:val="00906455"/>
    <w:rsid w:val="00906B7E"/>
    <w:rsid w:val="00911F44"/>
    <w:rsid w:val="00912747"/>
    <w:rsid w:val="0092104E"/>
    <w:rsid w:val="00921095"/>
    <w:rsid w:val="009252A6"/>
    <w:rsid w:val="0092746B"/>
    <w:rsid w:val="00927851"/>
    <w:rsid w:val="0093067A"/>
    <w:rsid w:val="00932F13"/>
    <w:rsid w:val="00935F6F"/>
    <w:rsid w:val="00937D72"/>
    <w:rsid w:val="00941C60"/>
    <w:rsid w:val="00941FD1"/>
    <w:rsid w:val="00943834"/>
    <w:rsid w:val="00944ECC"/>
    <w:rsid w:val="009515C4"/>
    <w:rsid w:val="009523BC"/>
    <w:rsid w:val="00952B73"/>
    <w:rsid w:val="00954C82"/>
    <w:rsid w:val="00955000"/>
    <w:rsid w:val="00955D35"/>
    <w:rsid w:val="009563E5"/>
    <w:rsid w:val="0095677E"/>
    <w:rsid w:val="00956F06"/>
    <w:rsid w:val="0096132C"/>
    <w:rsid w:val="009615BE"/>
    <w:rsid w:val="00964E7D"/>
    <w:rsid w:val="009665A5"/>
    <w:rsid w:val="00966D42"/>
    <w:rsid w:val="00971689"/>
    <w:rsid w:val="00973E90"/>
    <w:rsid w:val="00975B07"/>
    <w:rsid w:val="00980B4A"/>
    <w:rsid w:val="0098172D"/>
    <w:rsid w:val="00991684"/>
    <w:rsid w:val="009A4DF0"/>
    <w:rsid w:val="009A5480"/>
    <w:rsid w:val="009A6873"/>
    <w:rsid w:val="009A6AF1"/>
    <w:rsid w:val="009A7BB7"/>
    <w:rsid w:val="009B415A"/>
    <w:rsid w:val="009C352D"/>
    <w:rsid w:val="009C3C72"/>
    <w:rsid w:val="009C529A"/>
    <w:rsid w:val="009C58A7"/>
    <w:rsid w:val="009C5B0E"/>
    <w:rsid w:val="009C723D"/>
    <w:rsid w:val="009D087C"/>
    <w:rsid w:val="009D23C2"/>
    <w:rsid w:val="009D27A5"/>
    <w:rsid w:val="009D2900"/>
    <w:rsid w:val="009D2EF4"/>
    <w:rsid w:val="009D52D7"/>
    <w:rsid w:val="009E072F"/>
    <w:rsid w:val="009E2501"/>
    <w:rsid w:val="009E3D0A"/>
    <w:rsid w:val="009E4355"/>
    <w:rsid w:val="009E51FC"/>
    <w:rsid w:val="009E7483"/>
    <w:rsid w:val="009F0CD9"/>
    <w:rsid w:val="009F11D1"/>
    <w:rsid w:val="009F1D28"/>
    <w:rsid w:val="009F2954"/>
    <w:rsid w:val="009F71B9"/>
    <w:rsid w:val="009F7618"/>
    <w:rsid w:val="009F7DC0"/>
    <w:rsid w:val="00A00AA1"/>
    <w:rsid w:val="00A04D23"/>
    <w:rsid w:val="00A06766"/>
    <w:rsid w:val="00A10282"/>
    <w:rsid w:val="00A12EFB"/>
    <w:rsid w:val="00A13765"/>
    <w:rsid w:val="00A148C2"/>
    <w:rsid w:val="00A14E32"/>
    <w:rsid w:val="00A14E34"/>
    <w:rsid w:val="00A15A5B"/>
    <w:rsid w:val="00A1614E"/>
    <w:rsid w:val="00A17E06"/>
    <w:rsid w:val="00A20BA9"/>
    <w:rsid w:val="00A21B12"/>
    <w:rsid w:val="00A23508"/>
    <w:rsid w:val="00A23667"/>
    <w:rsid w:val="00A23F80"/>
    <w:rsid w:val="00A24DD8"/>
    <w:rsid w:val="00A27D0B"/>
    <w:rsid w:val="00A31B12"/>
    <w:rsid w:val="00A3399C"/>
    <w:rsid w:val="00A33FA3"/>
    <w:rsid w:val="00A34115"/>
    <w:rsid w:val="00A35AAD"/>
    <w:rsid w:val="00A378C6"/>
    <w:rsid w:val="00A37C7F"/>
    <w:rsid w:val="00A40CBB"/>
    <w:rsid w:val="00A425B7"/>
    <w:rsid w:val="00A4392A"/>
    <w:rsid w:val="00A4534E"/>
    <w:rsid w:val="00A46E98"/>
    <w:rsid w:val="00A50367"/>
    <w:rsid w:val="00A50D9F"/>
    <w:rsid w:val="00A51365"/>
    <w:rsid w:val="00A527A8"/>
    <w:rsid w:val="00A5498C"/>
    <w:rsid w:val="00A56FA7"/>
    <w:rsid w:val="00A57A4B"/>
    <w:rsid w:val="00A607AA"/>
    <w:rsid w:val="00A6352B"/>
    <w:rsid w:val="00A654C8"/>
    <w:rsid w:val="00A66711"/>
    <w:rsid w:val="00A673CF"/>
    <w:rsid w:val="00A675BD"/>
    <w:rsid w:val="00A701B5"/>
    <w:rsid w:val="00A714BB"/>
    <w:rsid w:val="00A717FF"/>
    <w:rsid w:val="00A73098"/>
    <w:rsid w:val="00A742A0"/>
    <w:rsid w:val="00A77147"/>
    <w:rsid w:val="00A77187"/>
    <w:rsid w:val="00A83A38"/>
    <w:rsid w:val="00A8495D"/>
    <w:rsid w:val="00A86A4F"/>
    <w:rsid w:val="00A90D29"/>
    <w:rsid w:val="00A92D8F"/>
    <w:rsid w:val="00A93D94"/>
    <w:rsid w:val="00A96FA9"/>
    <w:rsid w:val="00A9773E"/>
    <w:rsid w:val="00A97BA1"/>
    <w:rsid w:val="00AA1B97"/>
    <w:rsid w:val="00AA6322"/>
    <w:rsid w:val="00AA7465"/>
    <w:rsid w:val="00AA7C7E"/>
    <w:rsid w:val="00AB0614"/>
    <w:rsid w:val="00AB1BE6"/>
    <w:rsid w:val="00AB2845"/>
    <w:rsid w:val="00AB2988"/>
    <w:rsid w:val="00AB4535"/>
    <w:rsid w:val="00AB4B1B"/>
    <w:rsid w:val="00AB7999"/>
    <w:rsid w:val="00AB7CB4"/>
    <w:rsid w:val="00AB7E53"/>
    <w:rsid w:val="00AC1A56"/>
    <w:rsid w:val="00AC6C59"/>
    <w:rsid w:val="00AC7695"/>
    <w:rsid w:val="00AD2310"/>
    <w:rsid w:val="00AD28DD"/>
    <w:rsid w:val="00AD3292"/>
    <w:rsid w:val="00AD5258"/>
    <w:rsid w:val="00AD537F"/>
    <w:rsid w:val="00AD7BE2"/>
    <w:rsid w:val="00AE0A0A"/>
    <w:rsid w:val="00AE0FE1"/>
    <w:rsid w:val="00AE150F"/>
    <w:rsid w:val="00AE7AF0"/>
    <w:rsid w:val="00AF0CC6"/>
    <w:rsid w:val="00AF1D8B"/>
    <w:rsid w:val="00AF1DF5"/>
    <w:rsid w:val="00AF2468"/>
    <w:rsid w:val="00AF3FD4"/>
    <w:rsid w:val="00AF4913"/>
    <w:rsid w:val="00AF534B"/>
    <w:rsid w:val="00AF5EE7"/>
    <w:rsid w:val="00AF7352"/>
    <w:rsid w:val="00AF7D53"/>
    <w:rsid w:val="00B02EF6"/>
    <w:rsid w:val="00B03AF3"/>
    <w:rsid w:val="00B04EBF"/>
    <w:rsid w:val="00B05127"/>
    <w:rsid w:val="00B06195"/>
    <w:rsid w:val="00B06704"/>
    <w:rsid w:val="00B1298C"/>
    <w:rsid w:val="00B130E5"/>
    <w:rsid w:val="00B1556E"/>
    <w:rsid w:val="00B17A97"/>
    <w:rsid w:val="00B23EDC"/>
    <w:rsid w:val="00B320E6"/>
    <w:rsid w:val="00B32F04"/>
    <w:rsid w:val="00B33761"/>
    <w:rsid w:val="00B33C5A"/>
    <w:rsid w:val="00B34A37"/>
    <w:rsid w:val="00B35337"/>
    <w:rsid w:val="00B35C67"/>
    <w:rsid w:val="00B4005A"/>
    <w:rsid w:val="00B406C0"/>
    <w:rsid w:val="00B44CFE"/>
    <w:rsid w:val="00B45A14"/>
    <w:rsid w:val="00B45DBD"/>
    <w:rsid w:val="00B500CA"/>
    <w:rsid w:val="00B50860"/>
    <w:rsid w:val="00B5108F"/>
    <w:rsid w:val="00B52627"/>
    <w:rsid w:val="00B5754C"/>
    <w:rsid w:val="00B608A1"/>
    <w:rsid w:val="00B60C4F"/>
    <w:rsid w:val="00B619E4"/>
    <w:rsid w:val="00B61D93"/>
    <w:rsid w:val="00B61DDF"/>
    <w:rsid w:val="00B64E83"/>
    <w:rsid w:val="00B65797"/>
    <w:rsid w:val="00B66F7F"/>
    <w:rsid w:val="00B67E26"/>
    <w:rsid w:val="00B716C3"/>
    <w:rsid w:val="00B71F60"/>
    <w:rsid w:val="00B72CF1"/>
    <w:rsid w:val="00B73361"/>
    <w:rsid w:val="00B73C77"/>
    <w:rsid w:val="00B74FDF"/>
    <w:rsid w:val="00B75D03"/>
    <w:rsid w:val="00B761CE"/>
    <w:rsid w:val="00B76DEF"/>
    <w:rsid w:val="00B7701A"/>
    <w:rsid w:val="00B8161D"/>
    <w:rsid w:val="00B822C1"/>
    <w:rsid w:val="00B82F0A"/>
    <w:rsid w:val="00B86314"/>
    <w:rsid w:val="00B86C46"/>
    <w:rsid w:val="00B8761C"/>
    <w:rsid w:val="00B87BCA"/>
    <w:rsid w:val="00B9366D"/>
    <w:rsid w:val="00B95F9E"/>
    <w:rsid w:val="00B9768E"/>
    <w:rsid w:val="00B97DEA"/>
    <w:rsid w:val="00BA1C2E"/>
    <w:rsid w:val="00BA3925"/>
    <w:rsid w:val="00BA42A5"/>
    <w:rsid w:val="00BA4AA8"/>
    <w:rsid w:val="00BA562B"/>
    <w:rsid w:val="00BA57BD"/>
    <w:rsid w:val="00BA6156"/>
    <w:rsid w:val="00BA670F"/>
    <w:rsid w:val="00BA69B2"/>
    <w:rsid w:val="00BA6BEF"/>
    <w:rsid w:val="00BB0785"/>
    <w:rsid w:val="00BB1213"/>
    <w:rsid w:val="00BB254E"/>
    <w:rsid w:val="00BB2AB9"/>
    <w:rsid w:val="00BB2C68"/>
    <w:rsid w:val="00BB3A43"/>
    <w:rsid w:val="00BB4AFD"/>
    <w:rsid w:val="00BB4B0B"/>
    <w:rsid w:val="00BB5AAC"/>
    <w:rsid w:val="00BB7F43"/>
    <w:rsid w:val="00BC044C"/>
    <w:rsid w:val="00BC200B"/>
    <w:rsid w:val="00BC3466"/>
    <w:rsid w:val="00BC4756"/>
    <w:rsid w:val="00BC69A4"/>
    <w:rsid w:val="00BC6F26"/>
    <w:rsid w:val="00BC6F80"/>
    <w:rsid w:val="00BC78DC"/>
    <w:rsid w:val="00BD3511"/>
    <w:rsid w:val="00BD53D6"/>
    <w:rsid w:val="00BE0680"/>
    <w:rsid w:val="00BE305F"/>
    <w:rsid w:val="00BE352E"/>
    <w:rsid w:val="00BE535E"/>
    <w:rsid w:val="00BE686A"/>
    <w:rsid w:val="00BE7B7A"/>
    <w:rsid w:val="00BE7BA3"/>
    <w:rsid w:val="00BF0500"/>
    <w:rsid w:val="00BF199F"/>
    <w:rsid w:val="00BF3CFC"/>
    <w:rsid w:val="00BF453A"/>
    <w:rsid w:val="00BF5682"/>
    <w:rsid w:val="00BF7539"/>
    <w:rsid w:val="00BF77A5"/>
    <w:rsid w:val="00BF7B09"/>
    <w:rsid w:val="00C00507"/>
    <w:rsid w:val="00C03C51"/>
    <w:rsid w:val="00C0667D"/>
    <w:rsid w:val="00C07E38"/>
    <w:rsid w:val="00C11C7F"/>
    <w:rsid w:val="00C129EC"/>
    <w:rsid w:val="00C13759"/>
    <w:rsid w:val="00C14247"/>
    <w:rsid w:val="00C146CF"/>
    <w:rsid w:val="00C159C0"/>
    <w:rsid w:val="00C1601D"/>
    <w:rsid w:val="00C20A95"/>
    <w:rsid w:val="00C210D0"/>
    <w:rsid w:val="00C24575"/>
    <w:rsid w:val="00C24D05"/>
    <w:rsid w:val="00C2571A"/>
    <w:rsid w:val="00C2692F"/>
    <w:rsid w:val="00C3207C"/>
    <w:rsid w:val="00C325D5"/>
    <w:rsid w:val="00C34A85"/>
    <w:rsid w:val="00C3560D"/>
    <w:rsid w:val="00C36F24"/>
    <w:rsid w:val="00C37C19"/>
    <w:rsid w:val="00C400E1"/>
    <w:rsid w:val="00C41187"/>
    <w:rsid w:val="00C41984"/>
    <w:rsid w:val="00C420D0"/>
    <w:rsid w:val="00C435F0"/>
    <w:rsid w:val="00C44497"/>
    <w:rsid w:val="00C444DC"/>
    <w:rsid w:val="00C4485B"/>
    <w:rsid w:val="00C4489E"/>
    <w:rsid w:val="00C448BF"/>
    <w:rsid w:val="00C456EF"/>
    <w:rsid w:val="00C508E7"/>
    <w:rsid w:val="00C52069"/>
    <w:rsid w:val="00C52B0E"/>
    <w:rsid w:val="00C5431D"/>
    <w:rsid w:val="00C5507A"/>
    <w:rsid w:val="00C550FB"/>
    <w:rsid w:val="00C5690D"/>
    <w:rsid w:val="00C614A0"/>
    <w:rsid w:val="00C61D21"/>
    <w:rsid w:val="00C62E0D"/>
    <w:rsid w:val="00C63C31"/>
    <w:rsid w:val="00C643A1"/>
    <w:rsid w:val="00C656D8"/>
    <w:rsid w:val="00C70492"/>
    <w:rsid w:val="00C713E7"/>
    <w:rsid w:val="00C71F3D"/>
    <w:rsid w:val="00C734B1"/>
    <w:rsid w:val="00C749E3"/>
    <w:rsid w:val="00C757A0"/>
    <w:rsid w:val="00C760DE"/>
    <w:rsid w:val="00C77816"/>
    <w:rsid w:val="00C80135"/>
    <w:rsid w:val="00C80B59"/>
    <w:rsid w:val="00C825DF"/>
    <w:rsid w:val="00C82630"/>
    <w:rsid w:val="00C82AE7"/>
    <w:rsid w:val="00C83944"/>
    <w:rsid w:val="00C83FC4"/>
    <w:rsid w:val="00C8481C"/>
    <w:rsid w:val="00C85B4E"/>
    <w:rsid w:val="00C85BC4"/>
    <w:rsid w:val="00C85E19"/>
    <w:rsid w:val="00C8608F"/>
    <w:rsid w:val="00C8639E"/>
    <w:rsid w:val="00C907F7"/>
    <w:rsid w:val="00C914C1"/>
    <w:rsid w:val="00C92307"/>
    <w:rsid w:val="00C94DCF"/>
    <w:rsid w:val="00C958EA"/>
    <w:rsid w:val="00C96678"/>
    <w:rsid w:val="00CA02CC"/>
    <w:rsid w:val="00CA0F13"/>
    <w:rsid w:val="00CA2103"/>
    <w:rsid w:val="00CA5F11"/>
    <w:rsid w:val="00CA6118"/>
    <w:rsid w:val="00CA6949"/>
    <w:rsid w:val="00CB1F5C"/>
    <w:rsid w:val="00CB5666"/>
    <w:rsid w:val="00CB606E"/>
    <w:rsid w:val="00CB6B99"/>
    <w:rsid w:val="00CC73BC"/>
    <w:rsid w:val="00CD4039"/>
    <w:rsid w:val="00CD5438"/>
    <w:rsid w:val="00CE4C87"/>
    <w:rsid w:val="00CE544A"/>
    <w:rsid w:val="00CE573F"/>
    <w:rsid w:val="00CF2A95"/>
    <w:rsid w:val="00CF2E53"/>
    <w:rsid w:val="00CF54E3"/>
    <w:rsid w:val="00CF5F62"/>
    <w:rsid w:val="00D05097"/>
    <w:rsid w:val="00D05456"/>
    <w:rsid w:val="00D05C1A"/>
    <w:rsid w:val="00D107F3"/>
    <w:rsid w:val="00D11E1C"/>
    <w:rsid w:val="00D11E6A"/>
    <w:rsid w:val="00D15FF8"/>
    <w:rsid w:val="00D160B0"/>
    <w:rsid w:val="00D16340"/>
    <w:rsid w:val="00D17F94"/>
    <w:rsid w:val="00D2057B"/>
    <w:rsid w:val="00D20C97"/>
    <w:rsid w:val="00D21F5B"/>
    <w:rsid w:val="00D223FC"/>
    <w:rsid w:val="00D225E7"/>
    <w:rsid w:val="00D228E1"/>
    <w:rsid w:val="00D231F5"/>
    <w:rsid w:val="00D26D1E"/>
    <w:rsid w:val="00D31F43"/>
    <w:rsid w:val="00D320F2"/>
    <w:rsid w:val="00D33EAA"/>
    <w:rsid w:val="00D3404E"/>
    <w:rsid w:val="00D41157"/>
    <w:rsid w:val="00D42B5D"/>
    <w:rsid w:val="00D436F9"/>
    <w:rsid w:val="00D474CF"/>
    <w:rsid w:val="00D530F7"/>
    <w:rsid w:val="00D53465"/>
    <w:rsid w:val="00D5439B"/>
    <w:rsid w:val="00D5458E"/>
    <w:rsid w:val="00D5476D"/>
    <w:rsid w:val="00D54E6F"/>
    <w:rsid w:val="00D5547E"/>
    <w:rsid w:val="00D633A3"/>
    <w:rsid w:val="00D6747E"/>
    <w:rsid w:val="00D6792B"/>
    <w:rsid w:val="00D70A5C"/>
    <w:rsid w:val="00D71FB6"/>
    <w:rsid w:val="00D722FF"/>
    <w:rsid w:val="00D72655"/>
    <w:rsid w:val="00D74D9F"/>
    <w:rsid w:val="00D74EA0"/>
    <w:rsid w:val="00D757CF"/>
    <w:rsid w:val="00D75F2A"/>
    <w:rsid w:val="00D771D6"/>
    <w:rsid w:val="00D773FB"/>
    <w:rsid w:val="00D8043E"/>
    <w:rsid w:val="00D81FC3"/>
    <w:rsid w:val="00D83F45"/>
    <w:rsid w:val="00D85714"/>
    <w:rsid w:val="00D860E2"/>
    <w:rsid w:val="00D86969"/>
    <w:rsid w:val="00D869A1"/>
    <w:rsid w:val="00D86BAE"/>
    <w:rsid w:val="00D874C3"/>
    <w:rsid w:val="00D92136"/>
    <w:rsid w:val="00DA413F"/>
    <w:rsid w:val="00DA4584"/>
    <w:rsid w:val="00DA614B"/>
    <w:rsid w:val="00DA6DD7"/>
    <w:rsid w:val="00DB160C"/>
    <w:rsid w:val="00DB16BF"/>
    <w:rsid w:val="00DB28E4"/>
    <w:rsid w:val="00DB3BEC"/>
    <w:rsid w:val="00DB7AD7"/>
    <w:rsid w:val="00DC3060"/>
    <w:rsid w:val="00DC61C5"/>
    <w:rsid w:val="00DC7144"/>
    <w:rsid w:val="00DD07E1"/>
    <w:rsid w:val="00DD345C"/>
    <w:rsid w:val="00DD58EF"/>
    <w:rsid w:val="00DD5B9E"/>
    <w:rsid w:val="00DD62AB"/>
    <w:rsid w:val="00DD7125"/>
    <w:rsid w:val="00DE0FB2"/>
    <w:rsid w:val="00DE3437"/>
    <w:rsid w:val="00DE3449"/>
    <w:rsid w:val="00DE4ACC"/>
    <w:rsid w:val="00DE4E97"/>
    <w:rsid w:val="00DE5D2A"/>
    <w:rsid w:val="00DF093E"/>
    <w:rsid w:val="00DF2D45"/>
    <w:rsid w:val="00DF6FF4"/>
    <w:rsid w:val="00DF780D"/>
    <w:rsid w:val="00E01C13"/>
    <w:rsid w:val="00E01F42"/>
    <w:rsid w:val="00E02399"/>
    <w:rsid w:val="00E0413C"/>
    <w:rsid w:val="00E0470B"/>
    <w:rsid w:val="00E04D19"/>
    <w:rsid w:val="00E05393"/>
    <w:rsid w:val="00E12C30"/>
    <w:rsid w:val="00E12DDD"/>
    <w:rsid w:val="00E132BC"/>
    <w:rsid w:val="00E17918"/>
    <w:rsid w:val="00E206D6"/>
    <w:rsid w:val="00E22608"/>
    <w:rsid w:val="00E22CFF"/>
    <w:rsid w:val="00E25120"/>
    <w:rsid w:val="00E25EC9"/>
    <w:rsid w:val="00E270BA"/>
    <w:rsid w:val="00E31435"/>
    <w:rsid w:val="00E31832"/>
    <w:rsid w:val="00E31CB6"/>
    <w:rsid w:val="00E3282E"/>
    <w:rsid w:val="00E3366E"/>
    <w:rsid w:val="00E33FA5"/>
    <w:rsid w:val="00E34089"/>
    <w:rsid w:val="00E35F02"/>
    <w:rsid w:val="00E42670"/>
    <w:rsid w:val="00E42DF6"/>
    <w:rsid w:val="00E52086"/>
    <w:rsid w:val="00E5215E"/>
    <w:rsid w:val="00E5223C"/>
    <w:rsid w:val="00E543A6"/>
    <w:rsid w:val="00E54DEA"/>
    <w:rsid w:val="00E56063"/>
    <w:rsid w:val="00E57045"/>
    <w:rsid w:val="00E57EDA"/>
    <w:rsid w:val="00E60479"/>
    <w:rsid w:val="00E60561"/>
    <w:rsid w:val="00E61D73"/>
    <w:rsid w:val="00E62E24"/>
    <w:rsid w:val="00E651D6"/>
    <w:rsid w:val="00E67569"/>
    <w:rsid w:val="00E67B5F"/>
    <w:rsid w:val="00E73684"/>
    <w:rsid w:val="00E74A9A"/>
    <w:rsid w:val="00E756D5"/>
    <w:rsid w:val="00E772EB"/>
    <w:rsid w:val="00E776F6"/>
    <w:rsid w:val="00E80244"/>
    <w:rsid w:val="00E818D6"/>
    <w:rsid w:val="00E826FA"/>
    <w:rsid w:val="00E8509C"/>
    <w:rsid w:val="00E87BB9"/>
    <w:rsid w:val="00E87F7A"/>
    <w:rsid w:val="00E9196F"/>
    <w:rsid w:val="00E94B3E"/>
    <w:rsid w:val="00E95F9A"/>
    <w:rsid w:val="00E96BD7"/>
    <w:rsid w:val="00E96ED9"/>
    <w:rsid w:val="00E9726F"/>
    <w:rsid w:val="00E97C4B"/>
    <w:rsid w:val="00E97D46"/>
    <w:rsid w:val="00EA0210"/>
    <w:rsid w:val="00EA0DB1"/>
    <w:rsid w:val="00EA0EE9"/>
    <w:rsid w:val="00EA27FF"/>
    <w:rsid w:val="00EA2E2C"/>
    <w:rsid w:val="00EA5F4B"/>
    <w:rsid w:val="00EA7D42"/>
    <w:rsid w:val="00EB20FE"/>
    <w:rsid w:val="00EB4123"/>
    <w:rsid w:val="00EB576A"/>
    <w:rsid w:val="00EB5958"/>
    <w:rsid w:val="00EB6A12"/>
    <w:rsid w:val="00EC05C7"/>
    <w:rsid w:val="00EC1261"/>
    <w:rsid w:val="00EC1392"/>
    <w:rsid w:val="00EC2675"/>
    <w:rsid w:val="00EC2F13"/>
    <w:rsid w:val="00EC3BC8"/>
    <w:rsid w:val="00EC78C3"/>
    <w:rsid w:val="00ED00F7"/>
    <w:rsid w:val="00ED1232"/>
    <w:rsid w:val="00ED3E27"/>
    <w:rsid w:val="00ED4EA9"/>
    <w:rsid w:val="00ED52CA"/>
    <w:rsid w:val="00ED5860"/>
    <w:rsid w:val="00EE102D"/>
    <w:rsid w:val="00EE35C9"/>
    <w:rsid w:val="00EE6A6A"/>
    <w:rsid w:val="00EF1DB8"/>
    <w:rsid w:val="00EF4281"/>
    <w:rsid w:val="00EF4581"/>
    <w:rsid w:val="00EF5DDD"/>
    <w:rsid w:val="00EF6E6C"/>
    <w:rsid w:val="00EF7B2F"/>
    <w:rsid w:val="00F01246"/>
    <w:rsid w:val="00F044E1"/>
    <w:rsid w:val="00F05965"/>
    <w:rsid w:val="00F05ECA"/>
    <w:rsid w:val="00F11A86"/>
    <w:rsid w:val="00F11B5F"/>
    <w:rsid w:val="00F126C8"/>
    <w:rsid w:val="00F20DB0"/>
    <w:rsid w:val="00F2304D"/>
    <w:rsid w:val="00F23062"/>
    <w:rsid w:val="00F23A62"/>
    <w:rsid w:val="00F279E0"/>
    <w:rsid w:val="00F310BB"/>
    <w:rsid w:val="00F32AD1"/>
    <w:rsid w:val="00F3566E"/>
    <w:rsid w:val="00F36BF6"/>
    <w:rsid w:val="00F3729F"/>
    <w:rsid w:val="00F37445"/>
    <w:rsid w:val="00F375FB"/>
    <w:rsid w:val="00F40D48"/>
    <w:rsid w:val="00F413EE"/>
    <w:rsid w:val="00F41AC1"/>
    <w:rsid w:val="00F435CF"/>
    <w:rsid w:val="00F4367A"/>
    <w:rsid w:val="00F43DA5"/>
    <w:rsid w:val="00F445B1"/>
    <w:rsid w:val="00F44717"/>
    <w:rsid w:val="00F4520B"/>
    <w:rsid w:val="00F45330"/>
    <w:rsid w:val="00F45CD4"/>
    <w:rsid w:val="00F46386"/>
    <w:rsid w:val="00F474FF"/>
    <w:rsid w:val="00F50B74"/>
    <w:rsid w:val="00F51051"/>
    <w:rsid w:val="00F5123A"/>
    <w:rsid w:val="00F60065"/>
    <w:rsid w:val="00F61FD3"/>
    <w:rsid w:val="00F656B8"/>
    <w:rsid w:val="00F66DCA"/>
    <w:rsid w:val="00F735D6"/>
    <w:rsid w:val="00F73BD5"/>
    <w:rsid w:val="00F73DD3"/>
    <w:rsid w:val="00F74F53"/>
    <w:rsid w:val="00F750DC"/>
    <w:rsid w:val="00F75DB2"/>
    <w:rsid w:val="00F7606D"/>
    <w:rsid w:val="00F764B5"/>
    <w:rsid w:val="00F81670"/>
    <w:rsid w:val="00F817AB"/>
    <w:rsid w:val="00F82024"/>
    <w:rsid w:val="00F83731"/>
    <w:rsid w:val="00F83B7E"/>
    <w:rsid w:val="00F845A9"/>
    <w:rsid w:val="00F858C6"/>
    <w:rsid w:val="00F86334"/>
    <w:rsid w:val="00F87D41"/>
    <w:rsid w:val="00F9047C"/>
    <w:rsid w:val="00F940A8"/>
    <w:rsid w:val="00F95037"/>
    <w:rsid w:val="00F95BC9"/>
    <w:rsid w:val="00F962D0"/>
    <w:rsid w:val="00F968E3"/>
    <w:rsid w:val="00F97DC2"/>
    <w:rsid w:val="00FA14E7"/>
    <w:rsid w:val="00FA42DB"/>
    <w:rsid w:val="00FA45CD"/>
    <w:rsid w:val="00FA4AC0"/>
    <w:rsid w:val="00FA624C"/>
    <w:rsid w:val="00FB3DA0"/>
    <w:rsid w:val="00FB4D9F"/>
    <w:rsid w:val="00FB6A23"/>
    <w:rsid w:val="00FB75D5"/>
    <w:rsid w:val="00FB7FC6"/>
    <w:rsid w:val="00FC16F9"/>
    <w:rsid w:val="00FC3658"/>
    <w:rsid w:val="00FC4751"/>
    <w:rsid w:val="00FC54DA"/>
    <w:rsid w:val="00FC5BB4"/>
    <w:rsid w:val="00FC77FD"/>
    <w:rsid w:val="00FC79D4"/>
    <w:rsid w:val="00FD0257"/>
    <w:rsid w:val="00FD0FAC"/>
    <w:rsid w:val="00FD1C02"/>
    <w:rsid w:val="00FD1DFA"/>
    <w:rsid w:val="00FD3091"/>
    <w:rsid w:val="00FD4966"/>
    <w:rsid w:val="00FD7183"/>
    <w:rsid w:val="00FE329D"/>
    <w:rsid w:val="00FE529D"/>
    <w:rsid w:val="00FE52CF"/>
    <w:rsid w:val="00FE57DC"/>
    <w:rsid w:val="00FF0FFB"/>
    <w:rsid w:val="00FF35CB"/>
    <w:rsid w:val="00FF6A4C"/>
    <w:rsid w:val="00FF75C2"/>
    <w:rsid w:val="00FF78D5"/>
    <w:rsid w:val="01129C8C"/>
    <w:rsid w:val="0144E35E"/>
    <w:rsid w:val="015587B8"/>
    <w:rsid w:val="0196C001"/>
    <w:rsid w:val="01BC4CE4"/>
    <w:rsid w:val="01E32E20"/>
    <w:rsid w:val="01FEFB55"/>
    <w:rsid w:val="02576BA7"/>
    <w:rsid w:val="02D1E66A"/>
    <w:rsid w:val="030205C5"/>
    <w:rsid w:val="031C36E2"/>
    <w:rsid w:val="03329062"/>
    <w:rsid w:val="042859A7"/>
    <w:rsid w:val="0431B973"/>
    <w:rsid w:val="05241D45"/>
    <w:rsid w:val="0605E844"/>
    <w:rsid w:val="06A38BA8"/>
    <w:rsid w:val="06BB7963"/>
    <w:rsid w:val="071561FF"/>
    <w:rsid w:val="07353025"/>
    <w:rsid w:val="07701BA3"/>
    <w:rsid w:val="08504BEA"/>
    <w:rsid w:val="088ACB9B"/>
    <w:rsid w:val="0894FF65"/>
    <w:rsid w:val="089E0821"/>
    <w:rsid w:val="09D1D8C4"/>
    <w:rsid w:val="0A881739"/>
    <w:rsid w:val="0A8E433D"/>
    <w:rsid w:val="0AB78C3B"/>
    <w:rsid w:val="0B41B220"/>
    <w:rsid w:val="0B9563D6"/>
    <w:rsid w:val="0BCF29A8"/>
    <w:rsid w:val="0BFB46E5"/>
    <w:rsid w:val="0C74A86D"/>
    <w:rsid w:val="0CB2EEB1"/>
    <w:rsid w:val="0CD972A8"/>
    <w:rsid w:val="0CF3C8FA"/>
    <w:rsid w:val="0E0D4160"/>
    <w:rsid w:val="0E0F6B4A"/>
    <w:rsid w:val="0E646B7B"/>
    <w:rsid w:val="0E7DAA2A"/>
    <w:rsid w:val="0E98A08B"/>
    <w:rsid w:val="0F319D9F"/>
    <w:rsid w:val="0F4079B9"/>
    <w:rsid w:val="0F7FC4C4"/>
    <w:rsid w:val="0FB7DE27"/>
    <w:rsid w:val="1033AFE3"/>
    <w:rsid w:val="105E3710"/>
    <w:rsid w:val="10802155"/>
    <w:rsid w:val="1152E5F3"/>
    <w:rsid w:val="11AA6299"/>
    <w:rsid w:val="11D15B33"/>
    <w:rsid w:val="1235607E"/>
    <w:rsid w:val="124C54FD"/>
    <w:rsid w:val="12C10006"/>
    <w:rsid w:val="13304591"/>
    <w:rsid w:val="1377C3FA"/>
    <w:rsid w:val="137DF078"/>
    <w:rsid w:val="13ABD49A"/>
    <w:rsid w:val="13B31B52"/>
    <w:rsid w:val="13CFA137"/>
    <w:rsid w:val="13D130DF"/>
    <w:rsid w:val="147601AE"/>
    <w:rsid w:val="14F37906"/>
    <w:rsid w:val="158118A0"/>
    <w:rsid w:val="15B7319D"/>
    <w:rsid w:val="15C9F19C"/>
    <w:rsid w:val="16E873F0"/>
    <w:rsid w:val="17006815"/>
    <w:rsid w:val="174F3175"/>
    <w:rsid w:val="181C254F"/>
    <w:rsid w:val="18DAAE87"/>
    <w:rsid w:val="18EED25F"/>
    <w:rsid w:val="1960A8E4"/>
    <w:rsid w:val="196A39C6"/>
    <w:rsid w:val="1988B006"/>
    <w:rsid w:val="19CF340A"/>
    <w:rsid w:val="19EB02CA"/>
    <w:rsid w:val="1A06C089"/>
    <w:rsid w:val="1ACEE548"/>
    <w:rsid w:val="1B2EF3AB"/>
    <w:rsid w:val="1B957FF5"/>
    <w:rsid w:val="1C26BF69"/>
    <w:rsid w:val="1C459F99"/>
    <w:rsid w:val="1C63D81F"/>
    <w:rsid w:val="1D78541F"/>
    <w:rsid w:val="1D8669F1"/>
    <w:rsid w:val="1DE5D87B"/>
    <w:rsid w:val="1F143150"/>
    <w:rsid w:val="1F3894D5"/>
    <w:rsid w:val="1F67109C"/>
    <w:rsid w:val="1F6D3693"/>
    <w:rsid w:val="1F98EAA2"/>
    <w:rsid w:val="1FC61795"/>
    <w:rsid w:val="1FD2B4B0"/>
    <w:rsid w:val="1FF4FF49"/>
    <w:rsid w:val="20004A8C"/>
    <w:rsid w:val="20133DB9"/>
    <w:rsid w:val="20214BFE"/>
    <w:rsid w:val="204D85D3"/>
    <w:rsid w:val="2065A8CE"/>
    <w:rsid w:val="20A24CD4"/>
    <w:rsid w:val="20E5C24C"/>
    <w:rsid w:val="20EDB446"/>
    <w:rsid w:val="2134F55C"/>
    <w:rsid w:val="219451DF"/>
    <w:rsid w:val="21B73F02"/>
    <w:rsid w:val="22160E78"/>
    <w:rsid w:val="2273FE0B"/>
    <w:rsid w:val="233CAB9B"/>
    <w:rsid w:val="2361AF62"/>
    <w:rsid w:val="23852A57"/>
    <w:rsid w:val="24152EDA"/>
    <w:rsid w:val="2436E782"/>
    <w:rsid w:val="24ED38EE"/>
    <w:rsid w:val="268E00AE"/>
    <w:rsid w:val="26BD1E33"/>
    <w:rsid w:val="26D68CAB"/>
    <w:rsid w:val="26EC82B8"/>
    <w:rsid w:val="2790C5C7"/>
    <w:rsid w:val="27B2D77C"/>
    <w:rsid w:val="27DE86C1"/>
    <w:rsid w:val="28089EE3"/>
    <w:rsid w:val="28900E77"/>
    <w:rsid w:val="28D602B1"/>
    <w:rsid w:val="293F9718"/>
    <w:rsid w:val="295A562D"/>
    <w:rsid w:val="299BE771"/>
    <w:rsid w:val="2A5E83B3"/>
    <w:rsid w:val="2AA12E2F"/>
    <w:rsid w:val="2AA41CC3"/>
    <w:rsid w:val="2B8ACD23"/>
    <w:rsid w:val="2B90773D"/>
    <w:rsid w:val="2BACA0CE"/>
    <w:rsid w:val="2BF0FE39"/>
    <w:rsid w:val="2CED5B0C"/>
    <w:rsid w:val="2D3EE20E"/>
    <w:rsid w:val="2DC72C75"/>
    <w:rsid w:val="2E1DD526"/>
    <w:rsid w:val="2E4CD901"/>
    <w:rsid w:val="2E4F958B"/>
    <w:rsid w:val="2E516A96"/>
    <w:rsid w:val="2EFD23D0"/>
    <w:rsid w:val="2F05F927"/>
    <w:rsid w:val="2F7C2533"/>
    <w:rsid w:val="3004A1E6"/>
    <w:rsid w:val="30158780"/>
    <w:rsid w:val="305C2FAB"/>
    <w:rsid w:val="306B695E"/>
    <w:rsid w:val="3098F431"/>
    <w:rsid w:val="30DF00B0"/>
    <w:rsid w:val="31E14ABC"/>
    <w:rsid w:val="31E5AEE7"/>
    <w:rsid w:val="320BB887"/>
    <w:rsid w:val="32699598"/>
    <w:rsid w:val="3344F850"/>
    <w:rsid w:val="34517DBA"/>
    <w:rsid w:val="34985791"/>
    <w:rsid w:val="34D12A5E"/>
    <w:rsid w:val="34FAB0F0"/>
    <w:rsid w:val="356E8E5A"/>
    <w:rsid w:val="358178BB"/>
    <w:rsid w:val="3599881D"/>
    <w:rsid w:val="35A6301C"/>
    <w:rsid w:val="35B3693D"/>
    <w:rsid w:val="36968151"/>
    <w:rsid w:val="36C6014D"/>
    <w:rsid w:val="3701018B"/>
    <w:rsid w:val="3704FF68"/>
    <w:rsid w:val="370835B5"/>
    <w:rsid w:val="374AF60F"/>
    <w:rsid w:val="3769FBE4"/>
    <w:rsid w:val="3780CEBA"/>
    <w:rsid w:val="37905293"/>
    <w:rsid w:val="3845C230"/>
    <w:rsid w:val="3919F2C6"/>
    <w:rsid w:val="391A8F51"/>
    <w:rsid w:val="39EB0E91"/>
    <w:rsid w:val="3A47418F"/>
    <w:rsid w:val="3AE1AC2D"/>
    <w:rsid w:val="3B0F6A31"/>
    <w:rsid w:val="3B3F24C2"/>
    <w:rsid w:val="3B616D9D"/>
    <w:rsid w:val="3CB23069"/>
    <w:rsid w:val="3D8F59BF"/>
    <w:rsid w:val="3DAE5A06"/>
    <w:rsid w:val="3DBB1777"/>
    <w:rsid w:val="3DDD503F"/>
    <w:rsid w:val="3F0FAF09"/>
    <w:rsid w:val="3F757512"/>
    <w:rsid w:val="3F810E26"/>
    <w:rsid w:val="3F823C1B"/>
    <w:rsid w:val="3FDDFF33"/>
    <w:rsid w:val="4092F60D"/>
    <w:rsid w:val="40B74B0E"/>
    <w:rsid w:val="40BB168D"/>
    <w:rsid w:val="41F5FA76"/>
    <w:rsid w:val="42075C67"/>
    <w:rsid w:val="4292B3E1"/>
    <w:rsid w:val="42A25933"/>
    <w:rsid w:val="436F6FEF"/>
    <w:rsid w:val="43A04E02"/>
    <w:rsid w:val="43D7474A"/>
    <w:rsid w:val="4455AD3E"/>
    <w:rsid w:val="44B7EA5D"/>
    <w:rsid w:val="44D340D7"/>
    <w:rsid w:val="45ECB1C2"/>
    <w:rsid w:val="460497AD"/>
    <w:rsid w:val="4625D0FB"/>
    <w:rsid w:val="46351D3E"/>
    <w:rsid w:val="4691F4BA"/>
    <w:rsid w:val="47052A53"/>
    <w:rsid w:val="476B6FC9"/>
    <w:rsid w:val="478D4E00"/>
    <w:rsid w:val="47CB4F75"/>
    <w:rsid w:val="48033915"/>
    <w:rsid w:val="48D03F51"/>
    <w:rsid w:val="4903EFB4"/>
    <w:rsid w:val="49291E61"/>
    <w:rsid w:val="49E2C00F"/>
    <w:rsid w:val="4A011B34"/>
    <w:rsid w:val="4A277440"/>
    <w:rsid w:val="4A5A984B"/>
    <w:rsid w:val="4B5C2229"/>
    <w:rsid w:val="4B9B7442"/>
    <w:rsid w:val="4B9E3064"/>
    <w:rsid w:val="4BAD02D1"/>
    <w:rsid w:val="4C9943FA"/>
    <w:rsid w:val="4D6DAA73"/>
    <w:rsid w:val="4E288637"/>
    <w:rsid w:val="4E2E1E40"/>
    <w:rsid w:val="4F2C285D"/>
    <w:rsid w:val="4F3E7720"/>
    <w:rsid w:val="4F569C33"/>
    <w:rsid w:val="4F985FE5"/>
    <w:rsid w:val="4FAF83AA"/>
    <w:rsid w:val="4FBA735E"/>
    <w:rsid w:val="4FE41B1A"/>
    <w:rsid w:val="4FFF3AFD"/>
    <w:rsid w:val="5094CA38"/>
    <w:rsid w:val="512A058E"/>
    <w:rsid w:val="518DAC79"/>
    <w:rsid w:val="524002D5"/>
    <w:rsid w:val="5283F500"/>
    <w:rsid w:val="52D000A7"/>
    <w:rsid w:val="5364E7F8"/>
    <w:rsid w:val="538ED92A"/>
    <w:rsid w:val="53AB0B77"/>
    <w:rsid w:val="53D17DFE"/>
    <w:rsid w:val="53F8D347"/>
    <w:rsid w:val="54B87A13"/>
    <w:rsid w:val="54CEE6A6"/>
    <w:rsid w:val="54E9D69E"/>
    <w:rsid w:val="55335B1D"/>
    <w:rsid w:val="5553B007"/>
    <w:rsid w:val="556C8229"/>
    <w:rsid w:val="55834F00"/>
    <w:rsid w:val="55D5455C"/>
    <w:rsid w:val="560F8EEF"/>
    <w:rsid w:val="5613C15F"/>
    <w:rsid w:val="56E580C7"/>
    <w:rsid w:val="57132145"/>
    <w:rsid w:val="57594EE4"/>
    <w:rsid w:val="58691DAA"/>
    <w:rsid w:val="5894DCE6"/>
    <w:rsid w:val="591300D5"/>
    <w:rsid w:val="592C82AA"/>
    <w:rsid w:val="5A18AECC"/>
    <w:rsid w:val="5A9EAB33"/>
    <w:rsid w:val="5B34F8BC"/>
    <w:rsid w:val="5B93249E"/>
    <w:rsid w:val="5BCFE40D"/>
    <w:rsid w:val="5C021F4D"/>
    <w:rsid w:val="5C116F89"/>
    <w:rsid w:val="5D74962F"/>
    <w:rsid w:val="5D7E1A62"/>
    <w:rsid w:val="5D8C1033"/>
    <w:rsid w:val="5E578490"/>
    <w:rsid w:val="5E942B9B"/>
    <w:rsid w:val="5EDCD55C"/>
    <w:rsid w:val="5F814A81"/>
    <w:rsid w:val="5F96600E"/>
    <w:rsid w:val="5FB062E6"/>
    <w:rsid w:val="60154148"/>
    <w:rsid w:val="6022174A"/>
    <w:rsid w:val="603E92D3"/>
    <w:rsid w:val="618FD0E7"/>
    <w:rsid w:val="61A47B03"/>
    <w:rsid w:val="61E74FCD"/>
    <w:rsid w:val="6201AFAA"/>
    <w:rsid w:val="62C5ACF8"/>
    <w:rsid w:val="62D53CFB"/>
    <w:rsid w:val="62DAF84F"/>
    <w:rsid w:val="62DEA58E"/>
    <w:rsid w:val="62E47FCB"/>
    <w:rsid w:val="62EE11F7"/>
    <w:rsid w:val="62FB7426"/>
    <w:rsid w:val="62FE88C0"/>
    <w:rsid w:val="62FF7F2F"/>
    <w:rsid w:val="6359B80C"/>
    <w:rsid w:val="63987BD8"/>
    <w:rsid w:val="63DBAE52"/>
    <w:rsid w:val="63DCA65B"/>
    <w:rsid w:val="63F12C04"/>
    <w:rsid w:val="64EDA121"/>
    <w:rsid w:val="652C8ADB"/>
    <w:rsid w:val="659E1E58"/>
    <w:rsid w:val="660A8F08"/>
    <w:rsid w:val="6727E02C"/>
    <w:rsid w:val="6729BC5A"/>
    <w:rsid w:val="679A6EC1"/>
    <w:rsid w:val="686640F5"/>
    <w:rsid w:val="68689092"/>
    <w:rsid w:val="688936F1"/>
    <w:rsid w:val="68AEBA48"/>
    <w:rsid w:val="68B0C67C"/>
    <w:rsid w:val="6912623E"/>
    <w:rsid w:val="695D537B"/>
    <w:rsid w:val="696108B3"/>
    <w:rsid w:val="69B17D1B"/>
    <w:rsid w:val="69B506E7"/>
    <w:rsid w:val="69D504F2"/>
    <w:rsid w:val="6A15C308"/>
    <w:rsid w:val="6A2B5468"/>
    <w:rsid w:val="6A4854AD"/>
    <w:rsid w:val="6AC834E3"/>
    <w:rsid w:val="6B66981A"/>
    <w:rsid w:val="6B6723BB"/>
    <w:rsid w:val="6C09C520"/>
    <w:rsid w:val="6C484CEA"/>
    <w:rsid w:val="6C73B1B8"/>
    <w:rsid w:val="6CE75F54"/>
    <w:rsid w:val="6D63E968"/>
    <w:rsid w:val="6D6B54BC"/>
    <w:rsid w:val="6E4CB9BE"/>
    <w:rsid w:val="6E916AF9"/>
    <w:rsid w:val="6FAA052A"/>
    <w:rsid w:val="706BDC2F"/>
    <w:rsid w:val="707B4CCA"/>
    <w:rsid w:val="71E9DD81"/>
    <w:rsid w:val="7201C0A8"/>
    <w:rsid w:val="734DB8FE"/>
    <w:rsid w:val="73A88D4F"/>
    <w:rsid w:val="73F434FC"/>
    <w:rsid w:val="75E84CAC"/>
    <w:rsid w:val="75F3A7DC"/>
    <w:rsid w:val="7656A850"/>
    <w:rsid w:val="76F4A2EB"/>
    <w:rsid w:val="77069F70"/>
    <w:rsid w:val="775941D8"/>
    <w:rsid w:val="775F73E2"/>
    <w:rsid w:val="77A23C74"/>
    <w:rsid w:val="77E39F31"/>
    <w:rsid w:val="78D1956D"/>
    <w:rsid w:val="78D27197"/>
    <w:rsid w:val="78D6DBAD"/>
    <w:rsid w:val="78DC9F20"/>
    <w:rsid w:val="79045636"/>
    <w:rsid w:val="790CDDED"/>
    <w:rsid w:val="79162EC8"/>
    <w:rsid w:val="794B5A7F"/>
    <w:rsid w:val="79814A44"/>
    <w:rsid w:val="7A33DC4E"/>
    <w:rsid w:val="7A432423"/>
    <w:rsid w:val="7A48038C"/>
    <w:rsid w:val="7A4E11DB"/>
    <w:rsid w:val="7A7D53FE"/>
    <w:rsid w:val="7AE977F9"/>
    <w:rsid w:val="7B06A982"/>
    <w:rsid w:val="7B1F90F6"/>
    <w:rsid w:val="7C52D50B"/>
    <w:rsid w:val="7C75625F"/>
    <w:rsid w:val="7CBFD4CD"/>
    <w:rsid w:val="7DC8AC7C"/>
    <w:rsid w:val="7DD7F943"/>
    <w:rsid w:val="7E5731B8"/>
    <w:rsid w:val="7E5BEA51"/>
    <w:rsid w:val="7F49DD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FCFDA5"/>
  <w15:docId w15:val="{6568EE51-CBE3-4101-92B5-1729A18F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6"/>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1"/>
    <w:qFormat/>
    <w:rsid w:val="005570B5"/>
    <w:p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3"/>
      </w:numPr>
    </w:pPr>
  </w:style>
  <w:style w:type="paragraph" w:customStyle="1" w:styleId="Bulletpoints">
    <w:name w:val="Bullet points"/>
    <w:basedOn w:val="Normal"/>
    <w:link w:val="BulletpointsChar"/>
    <w:qFormat/>
    <w:rsid w:val="005570B5"/>
    <w:pPr>
      <w:numPr>
        <w:numId w:val="5"/>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autoRedefine/>
    <w:qFormat/>
    <w:rsid w:val="006E28B0"/>
    <w:pPr>
      <w:numPr>
        <w:numId w:val="4"/>
      </w:numPr>
      <w:spacing w:before="120" w:after="240"/>
    </w:pPr>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1"/>
    <w:rsid w:val="005570B5"/>
    <w:rPr>
      <w:color w:val="000000"/>
      <w:sz w:val="24"/>
      <w:szCs w:val="24"/>
    </w:rPr>
  </w:style>
  <w:style w:type="character" w:customStyle="1" w:styleId="bParagraphtextChar">
    <w:name w:val="bParagraph text Char"/>
    <w:link w:val="bParagraphtext"/>
    <w:rsid w:val="006E28B0"/>
    <w:rPr>
      <w:color w:val="000000"/>
      <w:sz w:val="24"/>
      <w:szCs w:val="24"/>
    </w:rPr>
  </w:style>
  <w:style w:type="paragraph" w:customStyle="1" w:styleId="Numberedlist">
    <w:name w:val="Numbered list"/>
    <w:basedOn w:val="Bulletpoints"/>
    <w:link w:val="NumberedlistChar"/>
    <w:qFormat/>
    <w:rsid w:val="004738C5"/>
    <w:pPr>
      <w:numPr>
        <w:numId w:val="7"/>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table" w:customStyle="1" w:styleId="TableGrid1">
    <w:name w:val="Table Grid1"/>
    <w:basedOn w:val="TableNormal"/>
    <w:next w:val="TableGrid"/>
    <w:uiPriority w:val="39"/>
    <w:rsid w:val="00725D38"/>
    <w:rPr>
      <w:rFonts w:ascii="Segoe UI" w:hAnsi="Segoe UI"/>
      <w:color w:val="4B4B4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0C046C"/>
    <w:rPr>
      <w:color w:val="000000"/>
    </w:rPr>
  </w:style>
  <w:style w:type="character" w:styleId="Strong">
    <w:name w:val="Strong"/>
    <w:basedOn w:val="DefaultParagraphFont"/>
    <w:uiPriority w:val="22"/>
    <w:qFormat/>
    <w:rsid w:val="00FF0FFB"/>
    <w:rPr>
      <w:b/>
      <w:bCs/>
    </w:rPr>
  </w:style>
  <w:style w:type="paragraph" w:customStyle="1" w:styleId="Default">
    <w:name w:val="Default"/>
    <w:rsid w:val="0060319D"/>
    <w:pPr>
      <w:autoSpaceDE w:val="0"/>
      <w:autoSpaceDN w:val="0"/>
      <w:adjustRightInd w:val="0"/>
    </w:pPr>
    <w:rPr>
      <w:rFonts w:eastAsiaTheme="minorHAnsi" w:cs="Arial"/>
      <w:color w:val="000000"/>
      <w:sz w:val="24"/>
      <w:szCs w:val="24"/>
      <w:lang w:eastAsia="en-US"/>
    </w:rPr>
  </w:style>
  <w:style w:type="paragraph" w:customStyle="1" w:styleId="xmsolistparagraph">
    <w:name w:val="x_msolistparagraph"/>
    <w:basedOn w:val="Normal"/>
    <w:rsid w:val="007B7B6F"/>
    <w:pPr>
      <w:spacing w:before="100" w:beforeAutospacing="1" w:after="100" w:afterAutospacing="1"/>
    </w:pPr>
    <w:rPr>
      <w:rFonts w:ascii="Times New Roman" w:hAnsi="Times New Roman"/>
      <w:color w:val="auto"/>
    </w:rPr>
  </w:style>
  <w:style w:type="character" w:styleId="UnresolvedMention">
    <w:name w:val="Unresolved Mention"/>
    <w:basedOn w:val="DefaultParagraphFont"/>
    <w:uiPriority w:val="99"/>
    <w:semiHidden/>
    <w:unhideWhenUsed/>
    <w:rsid w:val="00082E46"/>
    <w:rPr>
      <w:color w:val="605E5C"/>
      <w:shd w:val="clear" w:color="auto" w:fill="E1DFDD"/>
    </w:rPr>
  </w:style>
  <w:style w:type="character" w:styleId="Mention">
    <w:name w:val="Mention"/>
    <w:basedOn w:val="DefaultParagraphFont"/>
    <w:uiPriority w:val="99"/>
    <w:unhideWhenUsed/>
    <w:rsid w:val="005C47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7501">
      <w:bodyDiv w:val="1"/>
      <w:marLeft w:val="0"/>
      <w:marRight w:val="0"/>
      <w:marTop w:val="0"/>
      <w:marBottom w:val="0"/>
      <w:divBdr>
        <w:top w:val="none" w:sz="0" w:space="0" w:color="auto"/>
        <w:left w:val="none" w:sz="0" w:space="0" w:color="auto"/>
        <w:bottom w:val="none" w:sz="0" w:space="0" w:color="auto"/>
        <w:right w:val="none" w:sz="0" w:space="0" w:color="auto"/>
      </w:divBdr>
    </w:div>
    <w:div w:id="72437894">
      <w:bodyDiv w:val="1"/>
      <w:marLeft w:val="0"/>
      <w:marRight w:val="0"/>
      <w:marTop w:val="0"/>
      <w:marBottom w:val="0"/>
      <w:divBdr>
        <w:top w:val="none" w:sz="0" w:space="0" w:color="auto"/>
        <w:left w:val="none" w:sz="0" w:space="0" w:color="auto"/>
        <w:bottom w:val="none" w:sz="0" w:space="0" w:color="auto"/>
        <w:right w:val="none" w:sz="0" w:space="0" w:color="auto"/>
      </w:divBdr>
    </w:div>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44874488">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35500751">
      <w:bodyDiv w:val="1"/>
      <w:marLeft w:val="0"/>
      <w:marRight w:val="0"/>
      <w:marTop w:val="0"/>
      <w:marBottom w:val="0"/>
      <w:divBdr>
        <w:top w:val="none" w:sz="0" w:space="0" w:color="auto"/>
        <w:left w:val="none" w:sz="0" w:space="0" w:color="auto"/>
        <w:bottom w:val="none" w:sz="0" w:space="0" w:color="auto"/>
        <w:right w:val="none" w:sz="0" w:space="0" w:color="auto"/>
      </w:divBdr>
    </w:div>
    <w:div w:id="343021670">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413168996">
      <w:bodyDiv w:val="1"/>
      <w:marLeft w:val="0"/>
      <w:marRight w:val="0"/>
      <w:marTop w:val="0"/>
      <w:marBottom w:val="0"/>
      <w:divBdr>
        <w:top w:val="none" w:sz="0" w:space="0" w:color="auto"/>
        <w:left w:val="none" w:sz="0" w:space="0" w:color="auto"/>
        <w:bottom w:val="none" w:sz="0" w:space="0" w:color="auto"/>
        <w:right w:val="none" w:sz="0" w:space="0" w:color="auto"/>
      </w:divBdr>
    </w:div>
    <w:div w:id="511334568">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79641517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915282451">
      <w:bodyDiv w:val="1"/>
      <w:marLeft w:val="0"/>
      <w:marRight w:val="0"/>
      <w:marTop w:val="0"/>
      <w:marBottom w:val="0"/>
      <w:divBdr>
        <w:top w:val="none" w:sz="0" w:space="0" w:color="auto"/>
        <w:left w:val="none" w:sz="0" w:space="0" w:color="auto"/>
        <w:bottom w:val="none" w:sz="0" w:space="0" w:color="auto"/>
        <w:right w:val="none" w:sz="0" w:space="0" w:color="auto"/>
      </w:divBdr>
    </w:div>
    <w:div w:id="933393987">
      <w:bodyDiv w:val="1"/>
      <w:marLeft w:val="0"/>
      <w:marRight w:val="0"/>
      <w:marTop w:val="0"/>
      <w:marBottom w:val="0"/>
      <w:divBdr>
        <w:top w:val="none" w:sz="0" w:space="0" w:color="auto"/>
        <w:left w:val="none" w:sz="0" w:space="0" w:color="auto"/>
        <w:bottom w:val="none" w:sz="0" w:space="0" w:color="auto"/>
        <w:right w:val="none" w:sz="0" w:space="0" w:color="auto"/>
      </w:divBdr>
    </w:div>
    <w:div w:id="1009597912">
      <w:bodyDiv w:val="1"/>
      <w:marLeft w:val="0"/>
      <w:marRight w:val="0"/>
      <w:marTop w:val="0"/>
      <w:marBottom w:val="0"/>
      <w:divBdr>
        <w:top w:val="none" w:sz="0" w:space="0" w:color="auto"/>
        <w:left w:val="none" w:sz="0" w:space="0" w:color="auto"/>
        <w:bottom w:val="none" w:sz="0" w:space="0" w:color="auto"/>
        <w:right w:val="none" w:sz="0" w:space="0" w:color="auto"/>
      </w:divBdr>
    </w:div>
    <w:div w:id="1017076573">
      <w:bodyDiv w:val="1"/>
      <w:marLeft w:val="0"/>
      <w:marRight w:val="0"/>
      <w:marTop w:val="0"/>
      <w:marBottom w:val="0"/>
      <w:divBdr>
        <w:top w:val="none" w:sz="0" w:space="0" w:color="auto"/>
        <w:left w:val="none" w:sz="0" w:space="0" w:color="auto"/>
        <w:bottom w:val="none" w:sz="0" w:space="0" w:color="auto"/>
        <w:right w:val="none" w:sz="0" w:space="0" w:color="auto"/>
      </w:divBdr>
    </w:div>
    <w:div w:id="1075784263">
      <w:bodyDiv w:val="1"/>
      <w:marLeft w:val="0"/>
      <w:marRight w:val="0"/>
      <w:marTop w:val="0"/>
      <w:marBottom w:val="0"/>
      <w:divBdr>
        <w:top w:val="none" w:sz="0" w:space="0" w:color="auto"/>
        <w:left w:val="none" w:sz="0" w:space="0" w:color="auto"/>
        <w:bottom w:val="none" w:sz="0" w:space="0" w:color="auto"/>
        <w:right w:val="none" w:sz="0" w:space="0" w:color="auto"/>
      </w:divBdr>
    </w:div>
    <w:div w:id="1145464633">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370453268">
      <w:bodyDiv w:val="1"/>
      <w:marLeft w:val="0"/>
      <w:marRight w:val="0"/>
      <w:marTop w:val="0"/>
      <w:marBottom w:val="0"/>
      <w:divBdr>
        <w:top w:val="none" w:sz="0" w:space="0" w:color="auto"/>
        <w:left w:val="none" w:sz="0" w:space="0" w:color="auto"/>
        <w:bottom w:val="none" w:sz="0" w:space="0" w:color="auto"/>
        <w:right w:val="none" w:sz="0" w:space="0" w:color="auto"/>
      </w:divBdr>
    </w:div>
    <w:div w:id="1429497838">
      <w:bodyDiv w:val="1"/>
      <w:marLeft w:val="0"/>
      <w:marRight w:val="0"/>
      <w:marTop w:val="0"/>
      <w:marBottom w:val="0"/>
      <w:divBdr>
        <w:top w:val="none" w:sz="0" w:space="0" w:color="auto"/>
        <w:left w:val="none" w:sz="0" w:space="0" w:color="auto"/>
        <w:bottom w:val="none" w:sz="0" w:space="0" w:color="auto"/>
        <w:right w:val="none" w:sz="0" w:space="0" w:color="auto"/>
      </w:divBdr>
    </w:div>
    <w:div w:id="1440293986">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564415138">
      <w:bodyDiv w:val="1"/>
      <w:marLeft w:val="0"/>
      <w:marRight w:val="0"/>
      <w:marTop w:val="0"/>
      <w:marBottom w:val="0"/>
      <w:divBdr>
        <w:top w:val="none" w:sz="0" w:space="0" w:color="auto"/>
        <w:left w:val="none" w:sz="0" w:space="0" w:color="auto"/>
        <w:bottom w:val="none" w:sz="0" w:space="0" w:color="auto"/>
        <w:right w:val="none" w:sz="0" w:space="0" w:color="auto"/>
      </w:divBdr>
    </w:div>
    <w:div w:id="1594051040">
      <w:bodyDiv w:val="1"/>
      <w:marLeft w:val="0"/>
      <w:marRight w:val="0"/>
      <w:marTop w:val="0"/>
      <w:marBottom w:val="0"/>
      <w:divBdr>
        <w:top w:val="none" w:sz="0" w:space="0" w:color="auto"/>
        <w:left w:val="none" w:sz="0" w:space="0" w:color="auto"/>
        <w:bottom w:val="none" w:sz="0" w:space="0" w:color="auto"/>
        <w:right w:val="none" w:sz="0" w:space="0" w:color="auto"/>
      </w:divBdr>
    </w:div>
    <w:div w:id="1700201245">
      <w:bodyDiv w:val="1"/>
      <w:marLeft w:val="0"/>
      <w:marRight w:val="0"/>
      <w:marTop w:val="0"/>
      <w:marBottom w:val="0"/>
      <w:divBdr>
        <w:top w:val="none" w:sz="0" w:space="0" w:color="auto"/>
        <w:left w:val="none" w:sz="0" w:space="0" w:color="auto"/>
        <w:bottom w:val="none" w:sz="0" w:space="0" w:color="auto"/>
        <w:right w:val="none" w:sz="0" w:space="0" w:color="auto"/>
      </w:divBdr>
    </w:div>
    <w:div w:id="1988053449">
      <w:bodyDiv w:val="1"/>
      <w:marLeft w:val="0"/>
      <w:marRight w:val="0"/>
      <w:marTop w:val="0"/>
      <w:marBottom w:val="0"/>
      <w:divBdr>
        <w:top w:val="none" w:sz="0" w:space="0" w:color="auto"/>
        <w:left w:val="none" w:sz="0" w:space="0" w:color="auto"/>
        <w:bottom w:val="none" w:sz="0" w:space="0" w:color="auto"/>
        <w:right w:val="none" w:sz="0" w:space="0" w:color="auto"/>
      </w:divBdr>
    </w:div>
    <w:div w:id="2073037889">
      <w:bodyDiv w:val="1"/>
      <w:marLeft w:val="0"/>
      <w:marRight w:val="0"/>
      <w:marTop w:val="0"/>
      <w:marBottom w:val="0"/>
      <w:divBdr>
        <w:top w:val="none" w:sz="0" w:space="0" w:color="auto"/>
        <w:left w:val="none" w:sz="0" w:space="0" w:color="auto"/>
        <w:bottom w:val="none" w:sz="0" w:space="0" w:color="auto"/>
        <w:right w:val="none" w:sz="0" w:space="0" w:color="auto"/>
      </w:divBdr>
    </w:div>
    <w:div w:id="20802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mcrobie@oxford.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7B780A38B0A0439027D461FC7F07F7" ma:contentTypeVersion="14" ma:contentTypeDescription="Create a new document." ma:contentTypeScope="" ma:versionID="0c09eb2527c759c962963fdea465698e">
  <xsd:schema xmlns:xsd="http://www.w3.org/2001/XMLSchema" xmlns:xs="http://www.w3.org/2001/XMLSchema" xmlns:p="http://schemas.microsoft.com/office/2006/metadata/properties" xmlns:ns2="08892a3e-e018-4e3a-a308-c3daaa8bf551" xmlns:ns3="5552389b-def4-4eff-9654-d5c294c9d991" targetNamespace="http://schemas.microsoft.com/office/2006/metadata/properties" ma:root="true" ma:fieldsID="686946137d9c05c26fb4a9b09f7b8b89" ns2:_="" ns3:_="">
    <xsd:import namespace="08892a3e-e018-4e3a-a308-c3daaa8bf551"/>
    <xsd:import namespace="5552389b-def4-4eff-9654-d5c294c9d9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92a3e-e018-4e3a-a308-c3daaa8bf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dd4ae1b-e163-46e9-a8ef-d6e330c9a7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52389b-def4-4eff-9654-d5c294c9d9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136ad79-2946-468c-9e99-6ccf49a9f759}" ma:internalName="TaxCatchAll" ma:showField="CatchAllData" ma:web="5552389b-def4-4eff-9654-d5c294c9d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 A C T I V E ! 7 2 9 6 3 5 1 4 . 4 < / d o c u m e n t i d >  
     < s e n d e r i d > N H O L D E N < / s e n d e r i d >  
     < s e n d e r e m a i l > N A T H A N . H O L D E N @ F R E E T H S . C O . U K < / s e n d e r e m a i l >  
     < l a s t m o d i f i e d > 2 0 2 3 - 0 5 - 1 6 T 1 6 : 0 0 : 0 0 . 0 0 0 0 0 0 0 + 0 1 : 0 0 < / l a s t m o d i f i e d >  
     < d a t a b a s e > A C T I V E < / 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5552389b-def4-4eff-9654-d5c294c9d991" xsi:nil="true"/>
    <lcf76f155ced4ddcb4097134ff3c332f xmlns="08892a3e-e018-4e3a-a308-c3daaa8bf5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80F00B-2467-473D-B5F5-A06E841BB4B0}">
  <ds:schemaRefs>
    <ds:schemaRef ds:uri="http://schemas.microsoft.com/sharepoint/v3/contenttype/forms"/>
  </ds:schemaRefs>
</ds:datastoreItem>
</file>

<file path=customXml/itemProps2.xml><?xml version="1.0" encoding="utf-8"?>
<ds:datastoreItem xmlns:ds="http://schemas.openxmlformats.org/officeDocument/2006/customXml" ds:itemID="{20CD9457-E03B-4B6B-95D6-3ABF0AC5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92a3e-e018-4e3a-a308-c3daaa8bf551"/>
    <ds:schemaRef ds:uri="5552389b-def4-4eff-9654-d5c294c9d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7C5AB-6AFF-4F98-B225-5515C0E4F64C}">
  <ds:schemaRefs>
    <ds:schemaRef ds:uri="http://www.imanage.com/work/xmlschema"/>
  </ds:schemaRefs>
</ds:datastoreItem>
</file>

<file path=customXml/itemProps4.xml><?xml version="1.0" encoding="utf-8"?>
<ds:datastoreItem xmlns:ds="http://schemas.openxmlformats.org/officeDocument/2006/customXml" ds:itemID="{6B8D70BF-7105-4A63-888F-64BBAB2B32CB}">
  <ds:schemaRefs>
    <ds:schemaRef ds:uri="http://schemas.openxmlformats.org/officeDocument/2006/bibliography"/>
  </ds:schemaRefs>
</ds:datastoreItem>
</file>

<file path=customXml/itemProps5.xml><?xml version="1.0" encoding="utf-8"?>
<ds:datastoreItem xmlns:ds="http://schemas.openxmlformats.org/officeDocument/2006/customXml" ds:itemID="{C357DCC2-8C65-4825-B5B5-63FB39CD1665}">
  <ds:schemaRefs>
    <ds:schemaRef ds:uri="http://schemas.microsoft.com/office/2006/metadata/properties"/>
    <ds:schemaRef ds:uri="http://schemas.microsoft.com/office/infopath/2007/PartnerControls"/>
    <ds:schemaRef ds:uri="5552389b-def4-4eff-9654-d5c294c9d991"/>
    <ds:schemaRef ds:uri="08892a3e-e018-4e3a-a308-c3daaa8bf55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2511</Words>
  <Characters>13139</Characters>
  <Application>Microsoft Office Word</Application>
  <DocSecurity>0</DocSecurity>
  <Lines>109</Lines>
  <Paragraphs>31</Paragraphs>
  <ScaleCrop>false</ScaleCrop>
  <Company>Oxford City Council</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ahumpherson</dc:creator>
  <cp:keywords/>
  <cp:lastModifiedBy>MCCOLLUM Brenda</cp:lastModifiedBy>
  <cp:revision>244</cp:revision>
  <cp:lastPrinted>2020-02-14T06:18:00Z</cp:lastPrinted>
  <dcterms:created xsi:type="dcterms:W3CDTF">2024-11-09T02:47:00Z</dcterms:created>
  <dcterms:modified xsi:type="dcterms:W3CDTF">2024-11-22T09:18:00Z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0x010100047B780A38B0A0439027D461FC7F07F7</vt:lpwstr>
  </property>
  <property fmtid="{D5CDD505-2E9C-101B-9397-08002B2CF9AE}" pid="3" name="MediaServiceImageTags">
    <vt:lpwstr/>
  </property>
</Properties>
</file>